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439" w:rsidRPr="00300667" w:rsidRDefault="00887439" w:rsidP="00887439">
      <w:pPr>
        <w:pStyle w:val="GradeColorida-nfase11"/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i w:val="0"/>
          <w:sz w:val="24"/>
        </w:rPr>
      </w:pPr>
      <w:r w:rsidRPr="00300667">
        <w:rPr>
          <w:rFonts w:ascii="Times New Roman" w:hAnsi="Times New Roman" w:cs="Times New Roman"/>
          <w:b/>
          <w:i w:val="0"/>
          <w:sz w:val="24"/>
        </w:rPr>
        <w:t>MODELO DE ATA DE REGISTRO DE PREÇOS</w:t>
      </w:r>
    </w:p>
    <w:p w:rsidR="00CB46FC" w:rsidRPr="00300667" w:rsidRDefault="00887439" w:rsidP="00887439">
      <w:pPr>
        <w:pStyle w:val="GradeColorida-nfase11"/>
        <w:shd w:val="clear" w:color="auto" w:fill="D9D9D9" w:themeFill="background1" w:themeFillShade="D9"/>
        <w:spacing w:after="120"/>
        <w:jc w:val="center"/>
        <w:rPr>
          <w:rFonts w:ascii="Times New Roman" w:hAnsi="Times New Roman" w:cs="Times New Roman"/>
          <w:b/>
          <w:bCs/>
          <w:i w:val="0"/>
          <w:sz w:val="24"/>
        </w:rPr>
      </w:pPr>
      <w:r w:rsidRPr="00300667">
        <w:rPr>
          <w:rFonts w:ascii="Times New Roman" w:hAnsi="Times New Roman" w:cs="Times New Roman"/>
          <w:b/>
          <w:bCs/>
          <w:i w:val="0"/>
          <w:sz w:val="24"/>
        </w:rPr>
        <w:t>LEI Nº 14.133, DE 1º DE ABRIL DE 2021</w:t>
      </w:r>
    </w:p>
    <w:p w:rsidR="00A606C3" w:rsidRPr="00300667" w:rsidRDefault="00A606C3" w:rsidP="00A606C3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9D9D9"/>
        <w:spacing w:before="120" w:after="120"/>
        <w:jc w:val="both"/>
        <w:rPr>
          <w:rFonts w:ascii="Times New Roman" w:eastAsia="Calibri" w:hAnsi="Times New Roman" w:cs="Times New Roman"/>
          <w:b/>
          <w:iCs/>
          <w:color w:val="000000"/>
          <w:lang w:eastAsia="en-US"/>
        </w:rPr>
      </w:pPr>
      <w:r w:rsidRPr="00300667">
        <w:rPr>
          <w:rFonts w:ascii="Times New Roman" w:eastAsia="Calibri" w:hAnsi="Times New Roman" w:cs="Times New Roman"/>
          <w:b/>
          <w:iCs/>
          <w:color w:val="000000"/>
          <w:lang w:eastAsia="en-US"/>
        </w:rPr>
        <w:t>Notas Explicativas</w:t>
      </w:r>
      <w:r w:rsidRPr="00300667">
        <w:rPr>
          <w:rFonts w:ascii="Times New Roman" w:eastAsia="Calibri" w:hAnsi="Times New Roman" w:cs="Times New Roman"/>
          <w:bCs/>
          <w:iCs/>
          <w:color w:val="000000"/>
          <w:lang w:eastAsia="en-US"/>
        </w:rPr>
        <w:t>:</w:t>
      </w:r>
    </w:p>
    <w:p w:rsidR="00A606C3" w:rsidRPr="00300667" w:rsidRDefault="00A606C3" w:rsidP="00A606C3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9D9D9"/>
        <w:spacing w:before="120" w:after="120"/>
        <w:jc w:val="both"/>
        <w:rPr>
          <w:rFonts w:ascii="Times New Roman" w:eastAsia="Calibri" w:hAnsi="Times New Roman" w:cs="Times New Roman"/>
          <w:iCs/>
          <w:color w:val="000000"/>
          <w:lang w:eastAsia="en-US"/>
        </w:rPr>
      </w:pPr>
      <w:r w:rsidRPr="00300667">
        <w:rPr>
          <w:rFonts w:ascii="Times New Roman" w:eastAsia="Calibri" w:hAnsi="Times New Roman" w:cs="Times New Roman"/>
          <w:iCs/>
          <w:color w:val="000000"/>
          <w:lang w:eastAsia="en-US"/>
        </w:rPr>
        <w:t xml:space="preserve">Os itens do modelo destacados em </w:t>
      </w:r>
      <w:r w:rsidRPr="00300667">
        <w:rPr>
          <w:rFonts w:ascii="Times New Roman" w:eastAsia="Calibri" w:hAnsi="Times New Roman" w:cs="Times New Roman"/>
          <w:iCs/>
          <w:color w:val="FF0000"/>
          <w:lang w:eastAsia="en-US"/>
        </w:rPr>
        <w:t>vermelho</w:t>
      </w:r>
      <w:r w:rsidRPr="00300667">
        <w:rPr>
          <w:rFonts w:ascii="Times New Roman" w:eastAsia="Calibri" w:hAnsi="Times New Roman" w:cs="Times New Roman"/>
          <w:iCs/>
          <w:color w:val="000000"/>
          <w:lang w:eastAsia="en-US"/>
        </w:rPr>
        <w:t xml:space="preserve"> devem ser excluídos ou adotados e preenchidos, pelo órgão ou entidade, de acordo com as peculiaridades do objeto e critérios de oportunidade e conveniência, cuidando-se para que seja reproduzido o mesmo conteúdo nos demais </w:t>
      </w:r>
      <w:bookmarkStart w:id="0" w:name="_Hlk23774658"/>
      <w:r w:rsidRPr="00300667">
        <w:rPr>
          <w:rFonts w:ascii="Times New Roman" w:eastAsia="Calibri" w:hAnsi="Times New Roman" w:cs="Times New Roman"/>
          <w:iCs/>
          <w:color w:val="000000"/>
          <w:lang w:eastAsia="en-US"/>
        </w:rPr>
        <w:t xml:space="preserve">instrumentos </w:t>
      </w:r>
      <w:bookmarkEnd w:id="0"/>
      <w:r w:rsidRPr="00300667">
        <w:rPr>
          <w:rFonts w:ascii="Times New Roman" w:eastAsia="Calibri" w:hAnsi="Times New Roman" w:cs="Times New Roman"/>
          <w:iCs/>
          <w:color w:val="000000"/>
          <w:lang w:eastAsia="en-US"/>
        </w:rPr>
        <w:t>da contratação, para que não conflitem.</w:t>
      </w:r>
    </w:p>
    <w:p w:rsidR="00A606C3" w:rsidRPr="00300667" w:rsidRDefault="00A606C3" w:rsidP="00A606C3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9D9D9"/>
        <w:spacing w:before="120" w:after="120"/>
        <w:jc w:val="both"/>
        <w:rPr>
          <w:rFonts w:ascii="Times New Roman" w:eastAsia="Calibri" w:hAnsi="Times New Roman" w:cs="Times New Roman"/>
          <w:iCs/>
          <w:color w:val="000000"/>
          <w:lang w:eastAsia="en-US"/>
        </w:rPr>
      </w:pPr>
      <w:r w:rsidRPr="00300667">
        <w:rPr>
          <w:rFonts w:ascii="Times New Roman" w:eastAsia="Calibri" w:hAnsi="Times New Roman" w:cs="Times New Roman"/>
          <w:iCs/>
          <w:color w:val="000000"/>
          <w:lang w:eastAsia="en-US"/>
        </w:rPr>
        <w:t>Alguns itens receberão notas explicativas para melhor compreensão do agente ou setor responsável pela elaboração dos instrumentos da licitação, as quais deverão ser excluídas quando da finalização do documento.</w:t>
      </w:r>
    </w:p>
    <w:p w:rsidR="00A606C3" w:rsidRPr="00300667" w:rsidRDefault="00A606C3" w:rsidP="00A606C3">
      <w:pPr>
        <w:pBdr>
          <w:top w:val="single" w:sz="4" w:space="1" w:color="1F497D"/>
          <w:left w:val="single" w:sz="4" w:space="4" w:color="1F497D"/>
          <w:bottom w:val="single" w:sz="4" w:space="0" w:color="1F497D"/>
          <w:right w:val="single" w:sz="4" w:space="4" w:color="1F497D"/>
        </w:pBdr>
        <w:shd w:val="clear" w:color="auto" w:fill="D9D9D9"/>
        <w:spacing w:before="120" w:after="120"/>
        <w:jc w:val="both"/>
        <w:rPr>
          <w:rFonts w:ascii="Times New Roman" w:eastAsia="Calibri" w:hAnsi="Times New Roman" w:cs="Times New Roman"/>
          <w:iCs/>
          <w:color w:val="000000"/>
          <w:lang w:eastAsia="en-US"/>
        </w:rPr>
      </w:pPr>
      <w:r w:rsidRPr="00300667">
        <w:rPr>
          <w:rFonts w:ascii="Times New Roman" w:eastAsia="Calibri" w:hAnsi="Times New Roman" w:cs="Times New Roman"/>
          <w:iCs/>
          <w:color w:val="000000"/>
          <w:lang w:eastAsia="en-US"/>
        </w:rPr>
        <w:t>Os órgãos e entidades assessoradas deverão manter a nota de rodapé do modelo utilizado, a fim de que os órgãos consultivos, ao examinarem o documento, estejam certos de que o modelo é o correto. A versão final do texto, após aprovada pelo órgão consultivo, deverá excluir a referida nota.</w:t>
      </w:r>
    </w:p>
    <w:p w:rsidR="00887439" w:rsidRPr="00300667" w:rsidRDefault="00887439" w:rsidP="00750EA5">
      <w:pPr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CB46FC" w:rsidRPr="00300667" w:rsidRDefault="00AC69D4" w:rsidP="00AC69D4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b/>
          <w:bCs/>
          <w:color w:val="FF0000"/>
        </w:rPr>
      </w:pPr>
      <w:r w:rsidRPr="00300667">
        <w:rPr>
          <w:rFonts w:ascii="Times New Roman" w:hAnsi="Times New Roman" w:cs="Times New Roman"/>
          <w:b/>
        </w:rPr>
        <w:t xml:space="preserve">ATA DE REGISTRO DE PREÇOS </w:t>
      </w:r>
      <w:r w:rsidRPr="00300667">
        <w:rPr>
          <w:rFonts w:ascii="Times New Roman" w:hAnsi="Times New Roman" w:cs="Times New Roman"/>
          <w:b/>
          <w:bCs/>
        </w:rPr>
        <w:t xml:space="preserve">Nº </w:t>
      </w:r>
      <w:r w:rsidRPr="00300667">
        <w:rPr>
          <w:rFonts w:ascii="Times New Roman" w:hAnsi="Times New Roman" w:cs="Times New Roman"/>
          <w:b/>
          <w:bCs/>
          <w:color w:val="FF0000"/>
        </w:rPr>
        <w:t>(...)/(20...)</w:t>
      </w:r>
    </w:p>
    <w:p w:rsidR="00AC69D4" w:rsidRPr="00300667" w:rsidRDefault="00AC69D4" w:rsidP="00AC69D4">
      <w:pPr>
        <w:spacing w:before="120" w:after="120"/>
        <w:jc w:val="center"/>
        <w:rPr>
          <w:rFonts w:ascii="Times New Roman" w:hAnsi="Times New Roman" w:cs="Times New Roman"/>
          <w:bCs/>
          <w:color w:val="000000"/>
        </w:rPr>
      </w:pPr>
      <w:r w:rsidRPr="00300667">
        <w:rPr>
          <w:rFonts w:ascii="Times New Roman" w:hAnsi="Times New Roman" w:cs="Times New Roman"/>
          <w:bCs/>
          <w:color w:val="000000"/>
        </w:rPr>
        <w:t xml:space="preserve">Processo Administrativo nº </w:t>
      </w:r>
      <w:r w:rsidRPr="00300667">
        <w:rPr>
          <w:rFonts w:ascii="Times New Roman" w:hAnsi="Times New Roman" w:cs="Times New Roman"/>
          <w:bCs/>
          <w:color w:val="FF0000"/>
        </w:rPr>
        <w:t>(...)</w:t>
      </w:r>
    </w:p>
    <w:p w:rsidR="00CB46FC" w:rsidRPr="00300667" w:rsidRDefault="00CB46FC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both"/>
        <w:rPr>
          <w:rFonts w:ascii="Times New Roman" w:hAnsi="Times New Roman" w:cs="Times New Roman"/>
        </w:rPr>
      </w:pPr>
    </w:p>
    <w:p w:rsidR="00AF11DA" w:rsidRPr="00300667" w:rsidRDefault="00AF11DA" w:rsidP="00750EA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 w:firstLine="851"/>
        <w:jc w:val="both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 xml:space="preserve">O </w:t>
      </w:r>
      <w:r w:rsidRPr="00300667">
        <w:rPr>
          <w:rFonts w:ascii="Times New Roman" w:hAnsi="Times New Roman" w:cs="Times New Roman"/>
          <w:color w:val="FF0000"/>
        </w:rPr>
        <w:t>(...órgão ou entidade pública</w:t>
      </w:r>
      <w:r w:rsidR="000233B1" w:rsidRPr="00300667">
        <w:rPr>
          <w:rFonts w:ascii="Times New Roman" w:hAnsi="Times New Roman" w:cs="Times New Roman"/>
          <w:color w:val="FF0000"/>
        </w:rPr>
        <w:t xml:space="preserve"> que gerenciará a Ata de Registro de Preços</w:t>
      </w:r>
      <w:r w:rsidRPr="00300667">
        <w:rPr>
          <w:rFonts w:ascii="Times New Roman" w:hAnsi="Times New Roman" w:cs="Times New Roman"/>
          <w:color w:val="FF0000"/>
        </w:rPr>
        <w:t>...)</w:t>
      </w:r>
      <w:r w:rsidRPr="00300667">
        <w:rPr>
          <w:rFonts w:ascii="Times New Roman" w:hAnsi="Times New Roman" w:cs="Times New Roman"/>
        </w:rPr>
        <w:t xml:space="preserve">, com sede na </w:t>
      </w:r>
      <w:r w:rsidRPr="00300667">
        <w:rPr>
          <w:rFonts w:ascii="Times New Roman" w:hAnsi="Times New Roman" w:cs="Times New Roman"/>
          <w:color w:val="FF0000"/>
        </w:rPr>
        <w:t>(...endereço...)</w:t>
      </w:r>
      <w:r w:rsidRPr="00300667">
        <w:rPr>
          <w:rFonts w:ascii="Times New Roman" w:hAnsi="Times New Roman" w:cs="Times New Roman"/>
        </w:rPr>
        <w:t xml:space="preserve">, inscrito(a) no CNPJ/MF sob o nº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, neste ato representado(a) pelo seu </w:t>
      </w:r>
      <w:r w:rsidRPr="00300667">
        <w:rPr>
          <w:rFonts w:ascii="Times New Roman" w:hAnsi="Times New Roman" w:cs="Times New Roman"/>
          <w:color w:val="FF0000"/>
        </w:rPr>
        <w:t>(...autoridade competente...)</w:t>
      </w:r>
      <w:r w:rsidRPr="00300667">
        <w:rPr>
          <w:rFonts w:ascii="Times New Roman" w:hAnsi="Times New Roman" w:cs="Times New Roman"/>
        </w:rPr>
        <w:t xml:space="preserve">, nomeado pela  Portaria nº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, de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de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de 20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, publicada no DOE/AL de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de </w:t>
      </w:r>
      <w:r w:rsidRPr="00300667">
        <w:rPr>
          <w:rFonts w:ascii="Times New Roman" w:hAnsi="Times New Roman" w:cs="Times New Roman"/>
          <w:color w:val="FF0000"/>
        </w:rPr>
        <w:t xml:space="preserve">(...) </w:t>
      </w:r>
      <w:r w:rsidRPr="00300667">
        <w:rPr>
          <w:rFonts w:ascii="Times New Roman" w:hAnsi="Times New Roman" w:cs="Times New Roman"/>
        </w:rPr>
        <w:t>de 20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, portador da matrícula funcional nº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, considerando </w:t>
      </w:r>
      <w:r w:rsidR="00C61DAF" w:rsidRPr="00300667">
        <w:rPr>
          <w:rFonts w:ascii="Times New Roman" w:hAnsi="Times New Roman" w:cs="Times New Roman"/>
          <w:color w:val="FF0000"/>
        </w:rPr>
        <w:t>(...</w:t>
      </w:r>
      <w:r w:rsidRPr="00300667">
        <w:rPr>
          <w:rFonts w:ascii="Times New Roman" w:hAnsi="Times New Roman" w:cs="Times New Roman"/>
          <w:color w:val="FF0000"/>
        </w:rPr>
        <w:t xml:space="preserve">o julgamento da licitação na modalidade (...pregão/concorrência...), na forma </w:t>
      </w:r>
      <w:r w:rsidRPr="00300667">
        <w:rPr>
          <w:rFonts w:ascii="Times New Roman" w:hAnsi="Times New Roman" w:cs="Times New Roman"/>
          <w:iCs/>
          <w:color w:val="FF0000"/>
        </w:rPr>
        <w:t>eletrônica</w:t>
      </w:r>
      <w:r w:rsidR="00C61DAF" w:rsidRPr="00300667">
        <w:rPr>
          <w:rFonts w:ascii="Times New Roman" w:hAnsi="Times New Roman" w:cs="Times New Roman"/>
          <w:iCs/>
          <w:color w:val="FF0000"/>
        </w:rPr>
        <w:t>/a Contratação Direta...)</w:t>
      </w:r>
      <w:r w:rsidRPr="00300667">
        <w:rPr>
          <w:rFonts w:ascii="Times New Roman" w:hAnsi="Times New Roman" w:cs="Times New Roman"/>
        </w:rPr>
        <w:t xml:space="preserve">, para REGISTRO DE PREÇOS nº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>/20</w:t>
      </w:r>
      <w:r w:rsidRPr="00300667">
        <w:rPr>
          <w:rFonts w:ascii="Times New Roman" w:hAnsi="Times New Roman" w:cs="Times New Roman"/>
          <w:color w:val="FF0000"/>
        </w:rPr>
        <w:t>(..)</w:t>
      </w:r>
      <w:r w:rsidRPr="00300667">
        <w:rPr>
          <w:rFonts w:ascii="Times New Roman" w:hAnsi="Times New Roman" w:cs="Times New Roman"/>
        </w:rPr>
        <w:t xml:space="preserve">, publicado no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de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de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de 20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, processo administrativo nº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, RESOLVE registrar os preços da(s)  empresa(s) indicada(s) e qualificada(s) nesta ATA, de acordo com a classificação por ela(s) alcançada(s) e na(s) quantidade(s) cotada(s), atendendo às condições previstas no </w:t>
      </w:r>
      <w:r w:rsidRPr="00300667">
        <w:rPr>
          <w:rFonts w:ascii="Times New Roman" w:hAnsi="Times New Roman" w:cs="Times New Roman"/>
          <w:color w:val="FF0000"/>
        </w:rPr>
        <w:t>(...Edital de licitação/Aviso da Contratação Direta...)</w:t>
      </w:r>
      <w:r w:rsidRPr="00300667">
        <w:rPr>
          <w:rFonts w:ascii="Times New Roman" w:hAnsi="Times New Roman" w:cs="Times New Roman"/>
        </w:rPr>
        <w:t xml:space="preserve">, </w:t>
      </w:r>
      <w:r w:rsidR="00C61DAF" w:rsidRPr="00300667">
        <w:rPr>
          <w:rFonts w:ascii="Times New Roman" w:hAnsi="Times New Roman" w:cs="Times New Roman"/>
        </w:rPr>
        <w:t>sujeitando-se as partes às normas constantes na Lei nº 14.133, de 1º de abril de 2021, e em conformidade com as disposições a seguir:</w:t>
      </w:r>
    </w:p>
    <w:p w:rsidR="00CB46FC" w:rsidRPr="00300667" w:rsidRDefault="00CB46FC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DO OBJETO</w:t>
      </w:r>
    </w:p>
    <w:p w:rsidR="00CB46FC" w:rsidRPr="00300667" w:rsidRDefault="00CB46FC" w:rsidP="00A83E10">
      <w:pPr>
        <w:pStyle w:val="Nivel2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 presente Ata tem por objeto o registro de preços para a eventual </w:t>
      </w:r>
      <w:r w:rsidR="00586901" w:rsidRPr="00300667">
        <w:rPr>
          <w:rFonts w:ascii="Times New Roman" w:hAnsi="Times New Roman" w:cs="Times New Roman"/>
          <w:sz w:val="24"/>
          <w:szCs w:val="24"/>
        </w:rPr>
        <w:t>contratação</w:t>
      </w:r>
      <w:r w:rsidR="00C36C9F" w:rsidRPr="00300667">
        <w:rPr>
          <w:rFonts w:ascii="Times New Roman" w:hAnsi="Times New Roman" w:cs="Times New Roman"/>
          <w:sz w:val="24"/>
          <w:szCs w:val="24"/>
        </w:rPr>
        <w:t xml:space="preserve"> de </w:t>
      </w:r>
      <w:r w:rsidR="00BE1F06" w:rsidRPr="003006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="00C36C9F" w:rsidRPr="00300667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BE1F06" w:rsidRPr="0030066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00667">
        <w:rPr>
          <w:rFonts w:ascii="Times New Roman" w:hAnsi="Times New Roman" w:cs="Times New Roman"/>
          <w:sz w:val="24"/>
          <w:szCs w:val="24"/>
        </w:rPr>
        <w:t>, especificado(s) no(s) item(ns)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BE1F06" w:rsidRPr="00300667">
        <w:rPr>
          <w:rFonts w:ascii="Times New Roman" w:hAnsi="Times New Roman" w:cs="Times New Roman"/>
          <w:sz w:val="24"/>
          <w:szCs w:val="24"/>
        </w:rPr>
        <w:t>nº (...) do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FD7CFF" w:rsidRPr="00300667">
        <w:rPr>
          <w:rFonts w:ascii="Times New Roman" w:hAnsi="Times New Roman" w:cs="Times New Roman"/>
          <w:sz w:val="24"/>
          <w:szCs w:val="24"/>
        </w:rPr>
        <w:t>T</w:t>
      </w:r>
      <w:r w:rsidRPr="00300667">
        <w:rPr>
          <w:rFonts w:ascii="Times New Roman" w:hAnsi="Times New Roman" w:cs="Times New Roman"/>
          <w:sz w:val="24"/>
          <w:szCs w:val="24"/>
        </w:rPr>
        <w:t xml:space="preserve">ermo de </w:t>
      </w:r>
      <w:r w:rsidR="00FD7CFF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>eferência</w:t>
      </w:r>
      <w:r w:rsidR="00BE1F06" w:rsidRPr="00300667">
        <w:rPr>
          <w:rFonts w:ascii="Times New Roman" w:hAnsi="Times New Roman" w:cs="Times New Roman"/>
          <w:sz w:val="24"/>
          <w:szCs w:val="24"/>
        </w:rPr>
        <w:t>/Projeto Básico</w:t>
      </w:r>
      <w:r w:rsidRPr="00300667">
        <w:rPr>
          <w:rFonts w:ascii="Times New Roman" w:hAnsi="Times New Roman" w:cs="Times New Roman"/>
          <w:sz w:val="24"/>
          <w:szCs w:val="24"/>
        </w:rPr>
        <w:t xml:space="preserve"> anexo </w:t>
      </w:r>
      <w:r w:rsidR="00A83E10" w:rsidRPr="00300667">
        <w:rPr>
          <w:rFonts w:ascii="Times New Roman" w:hAnsi="Times New Roman" w:cs="Times New Roman"/>
          <w:color w:val="FF0000"/>
          <w:sz w:val="24"/>
          <w:szCs w:val="24"/>
        </w:rPr>
        <w:t>(...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do</w:t>
      </w:r>
      <w:r w:rsidR="00A83E10"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 E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dital de </w:t>
      </w:r>
      <w:r w:rsidR="0084417D" w:rsidRPr="00300667">
        <w:rPr>
          <w:rFonts w:ascii="Times New Roman" w:hAnsi="Times New Roman" w:cs="Times New Roman"/>
          <w:color w:val="FF0000"/>
          <w:sz w:val="24"/>
          <w:szCs w:val="24"/>
        </w:rPr>
        <w:t>Licitação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 nº</w:t>
      </w:r>
      <w:r w:rsidR="00A83E10"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A83E10" w:rsidRPr="0030066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/20</w:t>
      </w:r>
      <w:r w:rsidR="00A83E10" w:rsidRPr="003006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A83E10" w:rsidRPr="00300667">
        <w:rPr>
          <w:rFonts w:ascii="Times New Roman" w:hAnsi="Times New Roman" w:cs="Times New Roman"/>
          <w:color w:val="FF0000"/>
          <w:sz w:val="24"/>
          <w:szCs w:val="24"/>
        </w:rPr>
        <w:t>)/</w:t>
      </w:r>
      <w:r w:rsidR="006A7A1A"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do </w:t>
      </w:r>
      <w:r w:rsidR="007F633D" w:rsidRPr="00300667">
        <w:rPr>
          <w:rFonts w:ascii="Times New Roman" w:hAnsi="Times New Roman" w:cs="Times New Roman"/>
          <w:color w:val="FF0000"/>
          <w:sz w:val="24"/>
          <w:szCs w:val="24"/>
        </w:rPr>
        <w:t>Aviso da</w:t>
      </w:r>
      <w:r w:rsidR="00EE72CE"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 Contratação Direta nº</w:t>
      </w:r>
      <w:r w:rsidR="00A83E10" w:rsidRPr="00300667">
        <w:rPr>
          <w:rFonts w:ascii="Times New Roman" w:hAnsi="Times New Roman" w:cs="Times New Roman"/>
          <w:color w:val="FF0000"/>
          <w:sz w:val="24"/>
          <w:szCs w:val="24"/>
        </w:rPr>
        <w:t>( ...)/20(...)...)</w:t>
      </w:r>
      <w:r w:rsidRPr="00300667">
        <w:rPr>
          <w:rFonts w:ascii="Times New Roman" w:hAnsi="Times New Roman" w:cs="Times New Roman"/>
          <w:sz w:val="24"/>
          <w:szCs w:val="24"/>
        </w:rPr>
        <w:t>, que é parte integrante desta Ata, assim como a</w:t>
      </w:r>
      <w:r w:rsidR="00FC7DAC" w:rsidRPr="00300667">
        <w:rPr>
          <w:rFonts w:ascii="Times New Roman" w:hAnsi="Times New Roman" w:cs="Times New Roman"/>
          <w:sz w:val="24"/>
          <w:szCs w:val="24"/>
        </w:rPr>
        <w:t>s</w:t>
      </w:r>
      <w:r w:rsidRPr="00300667">
        <w:rPr>
          <w:rFonts w:ascii="Times New Roman" w:hAnsi="Times New Roman" w:cs="Times New Roman"/>
          <w:sz w:val="24"/>
          <w:szCs w:val="24"/>
        </w:rPr>
        <w:t xml:space="preserve"> proposta</w:t>
      </w:r>
      <w:r w:rsidR="00FC7DAC" w:rsidRPr="00300667">
        <w:rPr>
          <w:rFonts w:ascii="Times New Roman" w:hAnsi="Times New Roman" w:cs="Times New Roman"/>
          <w:sz w:val="24"/>
          <w:szCs w:val="24"/>
        </w:rPr>
        <w:t>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FC7DAC" w:rsidRPr="00300667">
        <w:rPr>
          <w:rFonts w:ascii="Times New Roman" w:hAnsi="Times New Roman" w:cs="Times New Roman"/>
          <w:sz w:val="24"/>
          <w:szCs w:val="24"/>
        </w:rPr>
        <w:t>cujos preços tenh</w:t>
      </w:r>
      <w:r w:rsidR="00B829AB" w:rsidRPr="00300667">
        <w:rPr>
          <w:rFonts w:ascii="Times New Roman" w:hAnsi="Times New Roman" w:cs="Times New Roman"/>
          <w:sz w:val="24"/>
          <w:szCs w:val="24"/>
        </w:rPr>
        <w:t>am sido registrados</w:t>
      </w:r>
      <w:r w:rsidRPr="00300667">
        <w:rPr>
          <w:rFonts w:ascii="Times New Roman" w:hAnsi="Times New Roman" w:cs="Times New Roman"/>
          <w:sz w:val="24"/>
          <w:szCs w:val="24"/>
        </w:rPr>
        <w:t>, independentemente de transcrição.</w:t>
      </w:r>
    </w:p>
    <w:p w:rsidR="00CB46FC" w:rsidRPr="00300667" w:rsidRDefault="00CB46FC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lastRenderedPageBreak/>
        <w:t>DOS PREÇOS, ESPECIFICAÇÕES E QUANTITATIVOS</w:t>
      </w:r>
    </w:p>
    <w:p w:rsidR="00CB46FC" w:rsidRPr="00300667" w:rsidRDefault="00CB46FC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 preço registrado, as especificações do objeto, a</w:t>
      </w:r>
      <w:r w:rsidR="004F5350" w:rsidRPr="00300667">
        <w:rPr>
          <w:rFonts w:ascii="Times New Roman" w:hAnsi="Times New Roman" w:cs="Times New Roman"/>
          <w:sz w:val="24"/>
          <w:szCs w:val="24"/>
        </w:rPr>
        <w:t>s</w:t>
      </w:r>
      <w:r w:rsidRPr="00300667">
        <w:rPr>
          <w:rFonts w:ascii="Times New Roman" w:hAnsi="Times New Roman" w:cs="Times New Roman"/>
          <w:sz w:val="24"/>
          <w:szCs w:val="24"/>
        </w:rPr>
        <w:t xml:space="preserve"> quantidade</w:t>
      </w:r>
      <w:r w:rsidR="004F5350" w:rsidRPr="00300667">
        <w:rPr>
          <w:rFonts w:ascii="Times New Roman" w:hAnsi="Times New Roman" w:cs="Times New Roman"/>
          <w:sz w:val="24"/>
          <w:szCs w:val="24"/>
        </w:rPr>
        <w:t>s mínimas e máximas de cada item</w:t>
      </w:r>
      <w:r w:rsidRPr="00300667">
        <w:rPr>
          <w:rFonts w:ascii="Times New Roman" w:hAnsi="Times New Roman" w:cs="Times New Roman"/>
          <w:sz w:val="24"/>
          <w:szCs w:val="24"/>
        </w:rPr>
        <w:t xml:space="preserve">, fornecedor(es) e as demais condições ofertadas na(s) proposta(s) são as que seguem: </w:t>
      </w:r>
    </w:p>
    <w:tbl>
      <w:tblPr>
        <w:tblW w:w="85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993"/>
        <w:gridCol w:w="1134"/>
        <w:gridCol w:w="1134"/>
        <w:gridCol w:w="1559"/>
        <w:gridCol w:w="1417"/>
        <w:gridCol w:w="1134"/>
      </w:tblGrid>
      <w:tr w:rsidR="00A83E10" w:rsidRPr="00300667" w:rsidTr="002921B5">
        <w:trPr>
          <w:trHeight w:val="674"/>
        </w:trPr>
        <w:tc>
          <w:tcPr>
            <w:tcW w:w="8505" w:type="dxa"/>
            <w:gridSpan w:val="7"/>
            <w:vAlign w:val="center"/>
          </w:tcPr>
          <w:p w:rsidR="00A83E10" w:rsidRPr="00300667" w:rsidRDefault="00A83E10" w:rsidP="00022C98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Fornecedor: (...razão social, CNPJ/MF, endereço, contatos, representante...)</w:t>
            </w:r>
          </w:p>
        </w:tc>
      </w:tr>
      <w:tr w:rsidR="00A83E10" w:rsidRPr="00300667" w:rsidTr="002921B5">
        <w:trPr>
          <w:trHeight w:val="674"/>
        </w:trPr>
        <w:tc>
          <w:tcPr>
            <w:tcW w:w="1134" w:type="dxa"/>
            <w:vAlign w:val="center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Item</w:t>
            </w:r>
          </w:p>
        </w:tc>
        <w:tc>
          <w:tcPr>
            <w:tcW w:w="993" w:type="dxa"/>
            <w:vAlign w:val="center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Unidade de Medida</w:t>
            </w:r>
          </w:p>
        </w:tc>
        <w:tc>
          <w:tcPr>
            <w:tcW w:w="1134" w:type="dxa"/>
            <w:vAlign w:val="center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Quantidade</w:t>
            </w:r>
          </w:p>
        </w:tc>
        <w:tc>
          <w:tcPr>
            <w:tcW w:w="1559" w:type="dxa"/>
            <w:vAlign w:val="center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Valor (R$) ou Percentual de Desconto (%)</w:t>
            </w:r>
          </w:p>
        </w:tc>
        <w:tc>
          <w:tcPr>
            <w:tcW w:w="1417" w:type="dxa"/>
            <w:vAlign w:val="center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Requisição Mínima</w:t>
            </w:r>
          </w:p>
        </w:tc>
        <w:tc>
          <w:tcPr>
            <w:tcW w:w="1134" w:type="dxa"/>
            <w:vAlign w:val="center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Requisição Máxima</w:t>
            </w:r>
          </w:p>
        </w:tc>
      </w:tr>
      <w:tr w:rsidR="00A83E10" w:rsidRPr="00300667" w:rsidTr="002921B5">
        <w:trPr>
          <w:trHeight w:val="174"/>
        </w:trPr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3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59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17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A83E10" w:rsidRPr="00300667" w:rsidTr="002921B5">
        <w:trPr>
          <w:trHeight w:val="174"/>
        </w:trPr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3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59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17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A83E10" w:rsidRPr="00300667" w:rsidRDefault="00A83E10" w:rsidP="00022C98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8F076A" w:rsidRPr="00300667" w:rsidRDefault="00C36C9F" w:rsidP="00750EA5">
      <w:pPr>
        <w:pStyle w:val="Nivel0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Nota</w:t>
      </w:r>
      <w:r w:rsidR="008F076A" w:rsidRPr="00300667">
        <w:rPr>
          <w:rFonts w:ascii="Times New Roman" w:hAnsi="Times New Roman" w:cs="Times New Roman"/>
          <w:sz w:val="24"/>
          <w:szCs w:val="24"/>
        </w:rPr>
        <w:t>s</w:t>
      </w:r>
      <w:r w:rsidRPr="00300667">
        <w:rPr>
          <w:rFonts w:ascii="Times New Roman" w:hAnsi="Times New Roman" w:cs="Times New Roman"/>
          <w:sz w:val="24"/>
          <w:szCs w:val="24"/>
        </w:rPr>
        <w:t xml:space="preserve"> Explicativa</w:t>
      </w:r>
      <w:r w:rsidR="008F076A" w:rsidRPr="00300667">
        <w:rPr>
          <w:rFonts w:ascii="Times New Roman" w:hAnsi="Times New Roman" w:cs="Times New Roman"/>
          <w:sz w:val="24"/>
          <w:szCs w:val="24"/>
        </w:rPr>
        <w:t>s</w:t>
      </w:r>
      <w:r w:rsidRPr="00300667">
        <w:rPr>
          <w:rFonts w:ascii="Times New Roman" w:hAnsi="Times New Roman" w:cs="Times New Roman"/>
          <w:sz w:val="24"/>
          <w:szCs w:val="24"/>
        </w:rPr>
        <w:t>:</w:t>
      </w:r>
    </w:p>
    <w:p w:rsidR="008F076A" w:rsidRPr="00300667" w:rsidRDefault="008F076A" w:rsidP="00750EA5">
      <w:pPr>
        <w:pStyle w:val="Nivel0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00667">
        <w:rPr>
          <w:rFonts w:ascii="Times New Roman" w:hAnsi="Times New Roman" w:cs="Times New Roman"/>
          <w:b w:val="0"/>
          <w:sz w:val="24"/>
          <w:szCs w:val="24"/>
        </w:rPr>
        <w:t>A tabela acima é meramente ilustrativa, podendo ser livremente alterada conforme o caso concreto.</w:t>
      </w:r>
    </w:p>
    <w:p w:rsidR="00C36C9F" w:rsidRPr="00300667" w:rsidRDefault="00C36C9F" w:rsidP="00750EA5">
      <w:pPr>
        <w:pStyle w:val="Nivel01"/>
        <w:numPr>
          <w:ilvl w:val="0"/>
          <w:numId w:val="0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300667">
        <w:rPr>
          <w:rFonts w:ascii="Times New Roman" w:hAnsi="Times New Roman" w:cs="Times New Roman"/>
          <w:b w:val="0"/>
          <w:sz w:val="24"/>
          <w:szCs w:val="24"/>
        </w:rPr>
        <w:t xml:space="preserve">O preço registrado, com a indicação dos fornecedores, será divulgado no </w:t>
      </w:r>
      <w:r w:rsidR="00F307E4" w:rsidRPr="00300667">
        <w:rPr>
          <w:rFonts w:ascii="Times New Roman" w:hAnsi="Times New Roman" w:cs="Times New Roman"/>
          <w:b w:val="0"/>
          <w:sz w:val="24"/>
          <w:szCs w:val="24"/>
        </w:rPr>
        <w:t xml:space="preserve">Portal Nacional de Contratações Públicas – </w:t>
      </w:r>
      <w:r w:rsidRPr="00300667">
        <w:rPr>
          <w:rFonts w:ascii="Times New Roman" w:hAnsi="Times New Roman" w:cs="Times New Roman"/>
          <w:b w:val="0"/>
          <w:sz w:val="24"/>
          <w:szCs w:val="24"/>
        </w:rPr>
        <w:t xml:space="preserve">PNCP e disponibilizado durante a vigência da ata de registro de preços. </w:t>
      </w:r>
    </w:p>
    <w:p w:rsidR="00C36C9F" w:rsidRPr="00300667" w:rsidRDefault="00C36C9F" w:rsidP="00750EA5">
      <w:pPr>
        <w:pStyle w:val="Textodecomentr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No artigo 82, § 3º, da Lei n.º 14.133, permite-se o registro de preços com indicação limitada a unidades de contratação,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bCs/>
          <w:sz w:val="24"/>
          <w:szCs w:val="24"/>
        </w:rPr>
        <w:t>sem indicação do total a ser adquirido</w:t>
      </w:r>
      <w:r w:rsidRPr="00300667">
        <w:rPr>
          <w:rFonts w:ascii="Times New Roman" w:hAnsi="Times New Roman" w:cs="Times New Roman"/>
          <w:sz w:val="24"/>
          <w:szCs w:val="24"/>
        </w:rPr>
        <w:t>, apenas nas seguintes situações:</w:t>
      </w:r>
    </w:p>
    <w:p w:rsidR="00C36C9F" w:rsidRPr="00300667" w:rsidRDefault="00C36C9F" w:rsidP="00750EA5">
      <w:pPr>
        <w:pStyle w:val="Textodecomentr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I - quando for a primeira licitação para o objeto e o órgão ou entidade não tiver registro de demandas anteriores;</w:t>
      </w:r>
    </w:p>
    <w:p w:rsidR="00C36C9F" w:rsidRPr="00300667" w:rsidRDefault="00C36C9F" w:rsidP="00750EA5">
      <w:pPr>
        <w:pStyle w:val="Textodecomentr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II - no caso de alimento perecível;</w:t>
      </w:r>
    </w:p>
    <w:p w:rsidR="00C36C9F" w:rsidRPr="00300667" w:rsidRDefault="00C36C9F" w:rsidP="00750EA5">
      <w:pPr>
        <w:pStyle w:val="Textodecomentr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III - no caso em que o serviço estiver integrado ao fornecimento de bens.</w:t>
      </w:r>
    </w:p>
    <w:p w:rsidR="00C36C9F" w:rsidRPr="00300667" w:rsidRDefault="00C36C9F" w:rsidP="00750EA5">
      <w:pPr>
        <w:pStyle w:val="Textodecomentrio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Nessas situações, é obrigatória a indicação do valor máximo da despesa e é vedada a participação de outro órgão ou entidade na ata.</w:t>
      </w:r>
    </w:p>
    <w:p w:rsidR="00C36C9F" w:rsidRPr="00300667" w:rsidRDefault="001F6040" w:rsidP="00750EA5">
      <w:pPr>
        <w:pStyle w:val="Nivel2"/>
        <w:spacing w:line="240" w:lineRule="auto"/>
        <w:ind w:right="-2"/>
        <w:rPr>
          <w:rFonts w:ascii="Times New Roman" w:hAnsi="Times New Roman" w:cs="Times New Roman"/>
          <w:sz w:val="24"/>
          <w:szCs w:val="24"/>
          <w:lang w:eastAsia="en-US"/>
        </w:rPr>
      </w:pPr>
      <w:r w:rsidRPr="00300667">
        <w:rPr>
          <w:rFonts w:ascii="Times New Roman" w:hAnsi="Times New Roman" w:cs="Times New Roman"/>
          <w:sz w:val="24"/>
          <w:szCs w:val="24"/>
          <w:lang w:eastAsia="en-US"/>
        </w:rPr>
        <w:t>A listagem do cadastro de reserva referente ao presente registro de preços consta como anexo a esta Ata.</w:t>
      </w:r>
    </w:p>
    <w:p w:rsidR="000A58E2" w:rsidRPr="00300667" w:rsidRDefault="00C36C9F" w:rsidP="0075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300667">
        <w:rPr>
          <w:rFonts w:ascii="Times New Roman" w:hAnsi="Times New Roman" w:cs="Times New Roman"/>
          <w:b/>
          <w:color w:val="000000" w:themeColor="text1"/>
        </w:rPr>
        <w:t>Nota Explicativa</w:t>
      </w:r>
      <w:r w:rsidRPr="00300667">
        <w:rPr>
          <w:rFonts w:ascii="Times New Roman" w:hAnsi="Times New Roman" w:cs="Times New Roman"/>
          <w:color w:val="000000" w:themeColor="text1"/>
        </w:rPr>
        <w:t xml:space="preserve">: </w:t>
      </w:r>
    </w:p>
    <w:p w:rsidR="00C36C9F" w:rsidRPr="00300667" w:rsidRDefault="000A58E2" w:rsidP="00750E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color w:val="000000" w:themeColor="text1"/>
        </w:rPr>
      </w:pPr>
      <w:r w:rsidRPr="00300667">
        <w:rPr>
          <w:rFonts w:ascii="Times New Roman" w:hAnsi="Times New Roman" w:cs="Times New Roman"/>
          <w:color w:val="000000" w:themeColor="text1"/>
        </w:rPr>
        <w:t xml:space="preserve">Com fundamento no inciso VII do </w:t>
      </w:r>
      <w:r w:rsidRPr="00300667">
        <w:rPr>
          <w:rFonts w:ascii="Times New Roman" w:hAnsi="Times New Roman" w:cs="Times New Roman"/>
          <w:i/>
          <w:color w:val="000000" w:themeColor="text1"/>
        </w:rPr>
        <w:t xml:space="preserve">caput </w:t>
      </w:r>
      <w:r w:rsidRPr="00300667">
        <w:rPr>
          <w:rFonts w:ascii="Times New Roman" w:hAnsi="Times New Roman" w:cs="Times New Roman"/>
          <w:color w:val="000000" w:themeColor="text1"/>
        </w:rPr>
        <w:t>e inciso VI do §5º do artigo 82 da Lei nº 14.133/2021, será incluído na Ata, na forma de anexo, o registro dos licitantes que aceitarem cotar o objeto com preço igual ao do adjudicatário, observada a classificação na licitação; e dos licitantes que mantiverem sua proposta original</w:t>
      </w:r>
      <w:r w:rsidR="00C36C9F" w:rsidRPr="00300667">
        <w:rPr>
          <w:rFonts w:ascii="Times New Roman" w:hAnsi="Times New Roman" w:cs="Times New Roman"/>
          <w:color w:val="000000" w:themeColor="text1"/>
        </w:rPr>
        <w:t>.</w:t>
      </w:r>
    </w:p>
    <w:p w:rsidR="00C36C9F" w:rsidRPr="00300667" w:rsidRDefault="00ED37CB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DO </w:t>
      </w:r>
      <w:r w:rsidR="00CB46FC" w:rsidRPr="00300667">
        <w:rPr>
          <w:rFonts w:ascii="Times New Roman" w:hAnsi="Times New Roman" w:cs="Times New Roman"/>
          <w:sz w:val="24"/>
          <w:szCs w:val="24"/>
        </w:rPr>
        <w:t>ÓRGÃO</w:t>
      </w:r>
      <w:r w:rsidRPr="00300667">
        <w:rPr>
          <w:rFonts w:ascii="Times New Roman" w:hAnsi="Times New Roman" w:cs="Times New Roman"/>
          <w:sz w:val="24"/>
          <w:szCs w:val="24"/>
        </w:rPr>
        <w:t xml:space="preserve"> OU ENTIDADE </w:t>
      </w:r>
      <w:r w:rsidR="006362AE" w:rsidRPr="00300667">
        <w:rPr>
          <w:rFonts w:ascii="Times New Roman" w:hAnsi="Times New Roman" w:cs="Times New Roman"/>
          <w:sz w:val="24"/>
          <w:szCs w:val="24"/>
        </w:rPr>
        <w:t>GERENCIADOR</w:t>
      </w:r>
      <w:r w:rsidRPr="00300667">
        <w:rPr>
          <w:rFonts w:ascii="Times New Roman" w:hAnsi="Times New Roman" w:cs="Times New Roman"/>
          <w:sz w:val="24"/>
          <w:szCs w:val="24"/>
        </w:rPr>
        <w:t>A</w:t>
      </w:r>
      <w:r w:rsidR="006362AE" w:rsidRPr="00300667">
        <w:rPr>
          <w:rFonts w:ascii="Times New Roman" w:hAnsi="Times New Roman" w:cs="Times New Roman"/>
          <w:sz w:val="24"/>
          <w:szCs w:val="24"/>
        </w:rPr>
        <w:t xml:space="preserve"> E</w:t>
      </w:r>
      <w:r w:rsidR="00CB46FC" w:rsidRPr="00300667">
        <w:rPr>
          <w:rFonts w:ascii="Times New Roman" w:hAnsi="Times New Roman" w:cs="Times New Roman"/>
          <w:sz w:val="24"/>
          <w:szCs w:val="24"/>
        </w:rPr>
        <w:t>PARTICIPANTES</w:t>
      </w:r>
    </w:p>
    <w:p w:rsidR="006362AE" w:rsidRPr="00300667" w:rsidRDefault="006362AE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O </w:t>
      </w:r>
      <w:r w:rsidR="00ED37CB" w:rsidRPr="00300667">
        <w:rPr>
          <w:rFonts w:ascii="Times New Roman" w:hAnsi="Times New Roman" w:cs="Times New Roman"/>
          <w:color w:val="FF0000"/>
          <w:sz w:val="24"/>
          <w:szCs w:val="24"/>
        </w:rPr>
        <w:t>(...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órgão</w:t>
      </w:r>
      <w:r w:rsidR="00ED37CB" w:rsidRPr="00300667">
        <w:rPr>
          <w:rFonts w:ascii="Times New Roman" w:hAnsi="Times New Roman" w:cs="Times New Roman"/>
          <w:color w:val="FF0000"/>
          <w:sz w:val="24"/>
          <w:szCs w:val="24"/>
        </w:rPr>
        <w:t>/entidade...)</w:t>
      </w:r>
      <w:r w:rsidRPr="00300667">
        <w:rPr>
          <w:rFonts w:ascii="Times New Roman" w:hAnsi="Times New Roman" w:cs="Times New Roman"/>
          <w:sz w:val="24"/>
          <w:szCs w:val="24"/>
        </w:rPr>
        <w:t xml:space="preserve"> gerenciador</w:t>
      </w:r>
      <w:r w:rsidR="00ED37CB" w:rsidRPr="00300667">
        <w:rPr>
          <w:rFonts w:ascii="Times New Roman" w:hAnsi="Times New Roman" w:cs="Times New Roman"/>
          <w:sz w:val="24"/>
          <w:szCs w:val="24"/>
        </w:rPr>
        <w:t>(a)</w:t>
      </w:r>
      <w:r w:rsidRPr="00300667">
        <w:rPr>
          <w:rFonts w:ascii="Times New Roman" w:hAnsi="Times New Roman" w:cs="Times New Roman"/>
          <w:sz w:val="24"/>
          <w:szCs w:val="24"/>
        </w:rPr>
        <w:t xml:space="preserve"> será o </w:t>
      </w:r>
      <w:r w:rsidR="00ED37CB" w:rsidRPr="00300667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...nome do órgão</w:t>
      </w:r>
      <w:r w:rsidR="00ED37CB" w:rsidRPr="00300667">
        <w:rPr>
          <w:rFonts w:ascii="Times New Roman" w:hAnsi="Times New Roman" w:cs="Times New Roman"/>
          <w:color w:val="FF0000"/>
          <w:sz w:val="24"/>
          <w:szCs w:val="24"/>
        </w:rPr>
        <w:t>/entidade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...</w:t>
      </w:r>
      <w:r w:rsidR="00ED37CB" w:rsidRPr="00300667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ED37CB" w:rsidRPr="00300667">
        <w:rPr>
          <w:rFonts w:ascii="Times New Roman" w:hAnsi="Times New Roman" w:cs="Times New Roman"/>
          <w:sz w:val="24"/>
          <w:szCs w:val="24"/>
        </w:rPr>
        <w:t>.</w:t>
      </w:r>
    </w:p>
    <w:p w:rsidR="00966BB7" w:rsidRPr="00300667" w:rsidRDefault="00B46698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lastRenderedPageBreak/>
        <w:t>Além do gerenciador n</w:t>
      </w:r>
      <w:r w:rsidR="004A5D41" w:rsidRPr="00300667">
        <w:rPr>
          <w:rFonts w:ascii="Times New Roman" w:hAnsi="Times New Roman" w:cs="Times New Roman"/>
          <w:i w:val="0"/>
          <w:sz w:val="24"/>
          <w:szCs w:val="24"/>
        </w:rPr>
        <w:t xml:space="preserve">ão há </w:t>
      </w:r>
      <w:r w:rsidR="00CB46FC" w:rsidRPr="00300667">
        <w:rPr>
          <w:rFonts w:ascii="Times New Roman" w:hAnsi="Times New Roman" w:cs="Times New Roman"/>
          <w:i w:val="0"/>
          <w:sz w:val="24"/>
          <w:szCs w:val="24"/>
        </w:rPr>
        <w:t>órgãos e entidades públicas participantes do registro de preços</w:t>
      </w:r>
      <w:r w:rsidR="00966BB7" w:rsidRPr="0030066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B46FC" w:rsidRPr="00300667" w:rsidRDefault="00966BB7" w:rsidP="00966BB7">
      <w:pPr>
        <w:pStyle w:val="Nvel2-Red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0667">
        <w:rPr>
          <w:rFonts w:ascii="Times New Roman" w:hAnsi="Times New Roman" w:cs="Times New Roman"/>
          <w:b/>
          <w:sz w:val="24"/>
          <w:szCs w:val="24"/>
          <w:u w:val="single"/>
        </w:rPr>
        <w:t>OU</w:t>
      </w:r>
    </w:p>
    <w:p w:rsidR="00966BB7" w:rsidRPr="00300667" w:rsidRDefault="00966BB7" w:rsidP="00966BB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b/>
          <w:iCs/>
          <w:vanish/>
          <w:color w:val="FF0000"/>
          <w:u w:val="single"/>
        </w:rPr>
      </w:pPr>
    </w:p>
    <w:p w:rsidR="00966BB7" w:rsidRPr="00300667" w:rsidRDefault="00966BB7" w:rsidP="00966BB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b/>
          <w:iCs/>
          <w:vanish/>
          <w:color w:val="FF0000"/>
          <w:u w:val="single"/>
        </w:rPr>
      </w:pPr>
    </w:p>
    <w:p w:rsidR="00966BB7" w:rsidRPr="00300667" w:rsidRDefault="00966BB7" w:rsidP="00966BB7">
      <w:pPr>
        <w:pStyle w:val="PargrafodaLista"/>
        <w:numPr>
          <w:ilvl w:val="0"/>
          <w:numId w:val="1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b/>
          <w:iCs/>
          <w:vanish/>
          <w:color w:val="FF0000"/>
          <w:u w:val="single"/>
        </w:rPr>
      </w:pPr>
    </w:p>
    <w:p w:rsidR="00966BB7" w:rsidRPr="00300667" w:rsidRDefault="00966BB7" w:rsidP="00966BB7">
      <w:pPr>
        <w:pStyle w:val="PargrafodaLista"/>
        <w:numPr>
          <w:ilvl w:val="1"/>
          <w:numId w:val="12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b/>
          <w:iCs/>
          <w:vanish/>
          <w:color w:val="FF0000"/>
          <w:u w:val="single"/>
        </w:rPr>
      </w:pPr>
    </w:p>
    <w:p w:rsidR="00966BB7" w:rsidRPr="00300667" w:rsidRDefault="00966BB7" w:rsidP="00966BB7">
      <w:pPr>
        <w:pStyle w:val="Nvel2-Red"/>
        <w:numPr>
          <w:ilvl w:val="1"/>
          <w:numId w:val="12"/>
        </w:numPr>
        <w:spacing w:line="240" w:lineRule="auto"/>
        <w:ind w:left="0" w:firstLine="0"/>
        <w:rPr>
          <w:rFonts w:ascii="Times New Roman" w:hAnsi="Times New Roman" w:cs="Times New Roman"/>
          <w:b/>
          <w:i w:val="0"/>
          <w:sz w:val="24"/>
          <w:szCs w:val="24"/>
          <w:u w:val="single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>São órgãos e entidades públicas participantes do registro de preços: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4"/>
        <w:gridCol w:w="2198"/>
        <w:gridCol w:w="2176"/>
        <w:gridCol w:w="2192"/>
      </w:tblGrid>
      <w:tr w:rsidR="00CB46FC" w:rsidRPr="00300667" w:rsidTr="00175233">
        <w:tc>
          <w:tcPr>
            <w:tcW w:w="2154" w:type="dxa"/>
          </w:tcPr>
          <w:p w:rsidR="00CB46FC" w:rsidRPr="00300667" w:rsidRDefault="00CB46FC" w:rsidP="00175233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 xml:space="preserve">Item </w:t>
            </w:r>
          </w:p>
        </w:tc>
        <w:tc>
          <w:tcPr>
            <w:tcW w:w="2198" w:type="dxa"/>
          </w:tcPr>
          <w:p w:rsidR="00CB46FC" w:rsidRPr="00300667" w:rsidRDefault="00CB46FC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Órgãos Participantes</w:t>
            </w:r>
          </w:p>
        </w:tc>
        <w:tc>
          <w:tcPr>
            <w:tcW w:w="2176" w:type="dxa"/>
          </w:tcPr>
          <w:p w:rsidR="00CB46FC" w:rsidRPr="00300667" w:rsidRDefault="00CB46FC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Unidade</w:t>
            </w:r>
            <w:r w:rsidR="00175233" w:rsidRPr="00300667">
              <w:rPr>
                <w:rFonts w:ascii="Times New Roman" w:hAnsi="Times New Roman" w:cs="Times New Roman"/>
                <w:iCs/>
                <w:color w:val="FF0000"/>
              </w:rPr>
              <w:t xml:space="preserve"> de medida</w:t>
            </w:r>
          </w:p>
        </w:tc>
        <w:tc>
          <w:tcPr>
            <w:tcW w:w="2192" w:type="dxa"/>
          </w:tcPr>
          <w:p w:rsidR="00CB46FC" w:rsidRPr="00300667" w:rsidRDefault="00CB46FC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Quantidade</w:t>
            </w:r>
          </w:p>
        </w:tc>
      </w:tr>
      <w:tr w:rsidR="00CB46FC" w:rsidRPr="00300667" w:rsidTr="00175233">
        <w:tc>
          <w:tcPr>
            <w:tcW w:w="2154" w:type="dxa"/>
          </w:tcPr>
          <w:p w:rsidR="00CB46FC" w:rsidRPr="00300667" w:rsidRDefault="00175233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98" w:type="dxa"/>
          </w:tcPr>
          <w:p w:rsidR="00CB46FC" w:rsidRPr="00300667" w:rsidRDefault="00175233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76" w:type="dxa"/>
          </w:tcPr>
          <w:p w:rsidR="00CB46FC" w:rsidRPr="00300667" w:rsidRDefault="00D45D6B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92" w:type="dxa"/>
          </w:tcPr>
          <w:p w:rsidR="00CB46FC" w:rsidRPr="00300667" w:rsidRDefault="00D45D6B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CB46FC" w:rsidRPr="00300667" w:rsidTr="00175233">
        <w:tc>
          <w:tcPr>
            <w:tcW w:w="2154" w:type="dxa"/>
          </w:tcPr>
          <w:p w:rsidR="00CB46FC" w:rsidRPr="00300667" w:rsidRDefault="00175233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98" w:type="dxa"/>
          </w:tcPr>
          <w:p w:rsidR="00CB46FC" w:rsidRPr="00300667" w:rsidRDefault="00175233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76" w:type="dxa"/>
          </w:tcPr>
          <w:p w:rsidR="00CB46FC" w:rsidRPr="00300667" w:rsidRDefault="00D45D6B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92" w:type="dxa"/>
          </w:tcPr>
          <w:p w:rsidR="00CB46FC" w:rsidRPr="00300667" w:rsidRDefault="00D45D6B" w:rsidP="00750EA5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6362AE" w:rsidRPr="00300667" w:rsidRDefault="006362AE" w:rsidP="00750EA5">
      <w:pPr>
        <w:pStyle w:val="Nivel01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DA ADESÃO À ATA DE REGISTRO DE PREÇOS</w:t>
      </w:r>
    </w:p>
    <w:p w:rsidR="00C36C9F" w:rsidRPr="00300667" w:rsidRDefault="006362AE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  <w:lang w:eastAsia="en-US"/>
        </w:rPr>
      </w:pPr>
      <w:r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Não será admitida a adesão à </w:t>
      </w:r>
      <w:r w:rsidR="006E4F16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A</w:t>
      </w:r>
      <w:r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ta de </w:t>
      </w:r>
      <w:r w:rsidR="006E4F16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R</w:t>
      </w:r>
      <w:r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egistro de </w:t>
      </w:r>
      <w:r w:rsidR="006E4F16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P</w:t>
      </w:r>
      <w:r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 xml:space="preserve">reços decorrente </w:t>
      </w:r>
      <w:r w:rsidR="006E4F16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(...</w:t>
      </w:r>
      <w:r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desta licitação</w:t>
      </w:r>
      <w:r w:rsidR="006E4F16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/</w:t>
      </w:r>
      <w:r w:rsidR="001A4570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desta contratação direta</w:t>
      </w:r>
      <w:r w:rsidR="006E4F16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...)</w:t>
      </w:r>
      <w:r w:rsidR="002F5867"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, conforme justificativa apresentada nos estudos técnicos preliminares</w:t>
      </w:r>
      <w:r w:rsidRPr="00300667">
        <w:rPr>
          <w:rFonts w:ascii="Times New Roman" w:hAnsi="Times New Roman" w:cs="Times New Roman"/>
          <w:i w:val="0"/>
          <w:sz w:val="24"/>
          <w:szCs w:val="24"/>
          <w:lang w:eastAsia="en-US"/>
        </w:rPr>
        <w:t>.</w:t>
      </w:r>
    </w:p>
    <w:p w:rsidR="00784168" w:rsidRPr="00300667" w:rsidRDefault="006362AE" w:rsidP="00750EA5">
      <w:pPr>
        <w:pStyle w:val="ou"/>
        <w:spacing w:before="120" w:after="120" w:line="240" w:lineRule="auto"/>
        <w:jc w:val="left"/>
        <w:rPr>
          <w:rFonts w:ascii="Times New Roman" w:hAnsi="Times New Roman" w:cs="Times New Roman"/>
          <w:sz w:val="24"/>
        </w:rPr>
      </w:pPr>
      <w:r w:rsidRPr="00300667">
        <w:rPr>
          <w:rFonts w:ascii="Times New Roman" w:hAnsi="Times New Roman" w:cs="Times New Roman"/>
          <w:sz w:val="24"/>
        </w:rPr>
        <w:t>OU</w:t>
      </w:r>
    </w:p>
    <w:p w:rsidR="00066588" w:rsidRPr="00300667" w:rsidRDefault="009773EA" w:rsidP="002A1812">
      <w:pPr>
        <w:pStyle w:val="Nivel2"/>
        <w:numPr>
          <w:ilvl w:val="0"/>
          <w:numId w:val="11"/>
        </w:numPr>
        <w:ind w:left="0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9C0A6B">
        <w:rPr>
          <w:rFonts w:ascii="Times New Roman" w:hAnsi="Times New Roman" w:cs="Times New Roman"/>
          <w:color w:val="FF0000"/>
          <w:sz w:val="24"/>
          <w:szCs w:val="24"/>
        </w:rPr>
        <w:t xml:space="preserve">Durante a vigência da </w:t>
      </w:r>
      <w:r w:rsidR="00B93B54" w:rsidRPr="009C0A6B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9C0A6B">
        <w:rPr>
          <w:rFonts w:ascii="Times New Roman" w:hAnsi="Times New Roman" w:cs="Times New Roman"/>
          <w:color w:val="FF0000"/>
          <w:sz w:val="24"/>
          <w:szCs w:val="24"/>
        </w:rPr>
        <w:t>ta, os órgãos e as entidades da Administração Pública estadual, distrital e municipal que não participaram do procedimento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 de IRP poderão aderir à </w:t>
      </w:r>
      <w:r w:rsidR="00B93B54" w:rsidRPr="0030066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ta de </w:t>
      </w:r>
      <w:r w:rsidR="00B93B54" w:rsidRPr="00300667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egistro de </w:t>
      </w:r>
      <w:r w:rsidR="00B93B54" w:rsidRPr="00300667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reços na condição de não participantes, observados os seguintes requisitos</w:t>
      </w:r>
      <w:r w:rsidR="00066588" w:rsidRPr="0030066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1E6EEF" w:rsidRPr="00300667" w:rsidRDefault="001E6EEF" w:rsidP="00750EA5">
      <w:pPr>
        <w:pStyle w:val="Nvel3-R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>apresentação de justificativa da vantagem da adesão, inclusive em situações de prováveldesabastecimento ou descontinuidade de serviço público;</w:t>
      </w:r>
    </w:p>
    <w:p w:rsidR="001E6EEF" w:rsidRPr="00300667" w:rsidRDefault="001E6EEF" w:rsidP="00750EA5">
      <w:pPr>
        <w:pStyle w:val="Nvel3-R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demonstração de que os valores registrados estão compa</w:t>
      </w:r>
      <w:r w:rsidR="00066588" w:rsidRPr="00300667">
        <w:rPr>
          <w:rFonts w:ascii="Times New Roman" w:hAnsi="Times New Roman" w:cs="Times New Roman"/>
          <w:i w:val="0"/>
          <w:sz w:val="24"/>
          <w:szCs w:val="24"/>
        </w:rPr>
        <w:t>tí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veis com os valores pra</w:t>
      </w:r>
      <w:r w:rsidR="00066588" w:rsidRPr="00300667">
        <w:rPr>
          <w:rFonts w:ascii="Times New Roman" w:hAnsi="Times New Roman" w:cs="Times New Roman"/>
          <w:i w:val="0"/>
          <w:sz w:val="24"/>
          <w:szCs w:val="24"/>
        </w:rPr>
        <w:t>ti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cadospelo mercado na forma do art. 23 da Lei nº 14.133, de 2021;</w:t>
      </w:r>
      <w:r w:rsidR="00D73226" w:rsidRPr="00300667">
        <w:rPr>
          <w:rFonts w:ascii="Times New Roman" w:hAnsi="Times New Roman" w:cs="Times New Roman"/>
          <w:i w:val="0"/>
          <w:sz w:val="24"/>
          <w:szCs w:val="24"/>
        </w:rPr>
        <w:t xml:space="preserve"> e</w:t>
      </w:r>
    </w:p>
    <w:p w:rsidR="006362AE" w:rsidRPr="00300667" w:rsidRDefault="001E6EEF" w:rsidP="00750EA5">
      <w:pPr>
        <w:pStyle w:val="Nvel3-R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consulta e aceitação </w:t>
      </w:r>
      <w:r w:rsidR="00D73226" w:rsidRPr="00300667">
        <w:rPr>
          <w:rFonts w:ascii="Times New Roman" w:hAnsi="Times New Roman" w:cs="Times New Roman"/>
          <w:i w:val="0"/>
          <w:sz w:val="24"/>
          <w:szCs w:val="24"/>
        </w:rPr>
        <w:t xml:space="preserve">prévias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do órgão ou </w:t>
      </w:r>
      <w:r w:rsidR="00D73226" w:rsidRPr="00300667">
        <w:rPr>
          <w:rFonts w:ascii="Times New Roman" w:hAnsi="Times New Roman" w:cs="Times New Roman"/>
          <w:i w:val="0"/>
          <w:sz w:val="24"/>
          <w:szCs w:val="24"/>
        </w:rPr>
        <w:t xml:space="preserve">da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entidade gerenciadora e do fornecedor.</w:t>
      </w:r>
    </w:p>
    <w:p w:rsidR="006362AE" w:rsidRPr="00300667" w:rsidRDefault="00490D27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>A autorização do órgão ou entidade gerenciadora apenas será realizada após a aceitação da adesão pelo fornecedor.</w:t>
      </w:r>
    </w:p>
    <w:p w:rsidR="0002269E" w:rsidRPr="00300667" w:rsidRDefault="006610CA" w:rsidP="00750EA5">
      <w:pPr>
        <w:pStyle w:val="Nvel3-R"/>
        <w:spacing w:line="240" w:lineRule="auto"/>
        <w:ind w:left="0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O </w:t>
      </w:r>
      <w:r w:rsidR="009538D2" w:rsidRPr="00300667">
        <w:rPr>
          <w:rFonts w:ascii="Times New Roman" w:hAnsi="Times New Roman" w:cs="Times New Roman"/>
          <w:i w:val="0"/>
          <w:sz w:val="24"/>
          <w:szCs w:val="24"/>
        </w:rPr>
        <w:t>órgão ou entidade</w:t>
      </w:r>
      <w:r w:rsidR="00C8173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gerenciador</w:t>
      </w:r>
      <w:r w:rsidR="00E23EFF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poderá rejeitar </w:t>
      </w:r>
      <w:r w:rsidR="001E0C73" w:rsidRPr="00300667">
        <w:rPr>
          <w:rFonts w:ascii="Times New Roman" w:hAnsi="Times New Roman" w:cs="Times New Roman"/>
          <w:i w:val="0"/>
          <w:sz w:val="24"/>
          <w:szCs w:val="24"/>
        </w:rPr>
        <w:t xml:space="preserve">adesões caso </w:t>
      </w:r>
      <w:r w:rsidR="003A753F" w:rsidRPr="00300667">
        <w:rPr>
          <w:rFonts w:ascii="Times New Roman" w:hAnsi="Times New Roman" w:cs="Times New Roman"/>
          <w:i w:val="0"/>
          <w:sz w:val="24"/>
          <w:szCs w:val="24"/>
        </w:rPr>
        <w:t xml:space="preserve">elas possam acarretar </w:t>
      </w:r>
      <w:r w:rsidR="006F5010" w:rsidRPr="00300667">
        <w:rPr>
          <w:rFonts w:ascii="Times New Roman" w:hAnsi="Times New Roman" w:cs="Times New Roman"/>
          <w:i w:val="0"/>
          <w:sz w:val="24"/>
          <w:szCs w:val="24"/>
        </w:rPr>
        <w:t xml:space="preserve">prejuízo à execução de seus </w:t>
      </w:r>
      <w:r w:rsidR="00C56ABC" w:rsidRPr="00300667">
        <w:rPr>
          <w:rFonts w:ascii="Times New Roman" w:hAnsi="Times New Roman" w:cs="Times New Roman"/>
          <w:i w:val="0"/>
          <w:sz w:val="24"/>
          <w:szCs w:val="24"/>
        </w:rPr>
        <w:t xml:space="preserve">próprios </w:t>
      </w:r>
      <w:r w:rsidR="006F5010" w:rsidRPr="00300667">
        <w:rPr>
          <w:rFonts w:ascii="Times New Roman" w:hAnsi="Times New Roman" w:cs="Times New Roman"/>
          <w:i w:val="0"/>
          <w:sz w:val="24"/>
          <w:szCs w:val="24"/>
        </w:rPr>
        <w:t xml:space="preserve">contratos ou </w:t>
      </w:r>
      <w:r w:rsidR="00C56ABC" w:rsidRPr="00300667">
        <w:rPr>
          <w:rFonts w:ascii="Times New Roman" w:hAnsi="Times New Roman" w:cs="Times New Roman"/>
          <w:i w:val="0"/>
          <w:sz w:val="24"/>
          <w:szCs w:val="24"/>
        </w:rPr>
        <w:t>à sua capacidade de gerenciamento.</w:t>
      </w:r>
    </w:p>
    <w:p w:rsidR="00BE6356" w:rsidRPr="00300667" w:rsidRDefault="00EF4F82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Após a autorização do órgão ou</w:t>
      </w:r>
      <w:r w:rsidR="00B35C29" w:rsidRPr="00300667">
        <w:rPr>
          <w:rFonts w:ascii="Times New Roman" w:hAnsi="Times New Roman" w:cs="Times New Roman"/>
          <w:i w:val="0"/>
          <w:sz w:val="24"/>
          <w:szCs w:val="24"/>
        </w:rPr>
        <w:t xml:space="preserve"> da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entidade gerenciadora, o órgão ou entidade não participante deverá efetivar a aquisição ou </w:t>
      </w:r>
      <w:r w:rsidR="00B35C29" w:rsidRPr="00300667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contratação solicitada em até </w:t>
      </w:r>
      <w:r w:rsidR="00C56F65" w:rsidRPr="00300667">
        <w:rPr>
          <w:rFonts w:ascii="Times New Roman" w:hAnsi="Times New Roman" w:cs="Times New Roman"/>
          <w:i w:val="0"/>
          <w:sz w:val="24"/>
          <w:szCs w:val="24"/>
        </w:rPr>
        <w:t>90 (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noventa</w:t>
      </w:r>
      <w:r w:rsidR="00C56F65" w:rsidRPr="00300667">
        <w:rPr>
          <w:rFonts w:ascii="Times New Roman" w:hAnsi="Times New Roman" w:cs="Times New Roman"/>
          <w:i w:val="0"/>
          <w:sz w:val="24"/>
          <w:szCs w:val="24"/>
        </w:rPr>
        <w:t>)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dias, observado o prazo de vigência da </w:t>
      </w:r>
      <w:r w:rsidR="00F97789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ta</w:t>
      </w:r>
      <w:r w:rsidR="00B35C29" w:rsidRPr="0030066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BE6356" w:rsidRPr="00300667" w:rsidRDefault="00EF4F82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O prazo de que trata o subitem anterior</w:t>
      </w:r>
      <w:r w:rsidR="00250091" w:rsidRPr="00300667">
        <w:rPr>
          <w:rFonts w:ascii="Times New Roman" w:hAnsi="Times New Roman" w:cs="Times New Roman"/>
          <w:i w:val="0"/>
          <w:sz w:val="24"/>
          <w:szCs w:val="24"/>
        </w:rPr>
        <w:t>, relativo à efetivação da contratação,</w:t>
      </w:r>
      <w:r w:rsidR="00AD5AC5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poderá</w:t>
      </w:r>
      <w:r w:rsidR="00C8173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ser prorrogado</w:t>
      </w:r>
      <w:r w:rsidR="007E381F" w:rsidRPr="00300667">
        <w:rPr>
          <w:rFonts w:ascii="Times New Roman" w:hAnsi="Times New Roman" w:cs="Times New Roman"/>
          <w:i w:val="0"/>
          <w:sz w:val="24"/>
          <w:szCs w:val="24"/>
        </w:rPr>
        <w:t xml:space="preserve"> excepcionalmente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, mediante solicitação do órgão ou </w:t>
      </w:r>
      <w:r w:rsidR="007E381F" w:rsidRPr="00300667">
        <w:rPr>
          <w:rFonts w:ascii="Times New Roman" w:hAnsi="Times New Roman" w:cs="Times New Roman"/>
          <w:i w:val="0"/>
          <w:sz w:val="24"/>
          <w:szCs w:val="24"/>
        </w:rPr>
        <w:t xml:space="preserve">da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entidade não participante aceita pelo órgão ou </w:t>
      </w:r>
      <w:r w:rsidR="007E381F" w:rsidRPr="00300667">
        <w:rPr>
          <w:rFonts w:ascii="Times New Roman" w:hAnsi="Times New Roman" w:cs="Times New Roman"/>
          <w:i w:val="0"/>
          <w:sz w:val="24"/>
          <w:szCs w:val="24"/>
        </w:rPr>
        <w:t xml:space="preserve">pela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entidade gerenciador</w:t>
      </w:r>
      <w:r w:rsidR="00497049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, desde que respeitado o limite temporal de vigência da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ta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R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egistro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P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reços.</w:t>
      </w:r>
    </w:p>
    <w:p w:rsidR="00784168" w:rsidRPr="00300667" w:rsidRDefault="00EF4F82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lastRenderedPageBreak/>
        <w:t>O órgão ou a en</w:t>
      </w:r>
      <w:r w:rsidR="00497049" w:rsidRPr="00300667">
        <w:rPr>
          <w:rFonts w:ascii="Times New Roman" w:hAnsi="Times New Roman" w:cs="Times New Roman"/>
          <w:i w:val="0"/>
          <w:sz w:val="24"/>
          <w:szCs w:val="24"/>
        </w:rPr>
        <w:t>ti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dade poderá aderir a item da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ta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R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egistro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P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reços </w:t>
      </w:r>
      <w:r w:rsidR="00D60FAE" w:rsidRPr="00300667">
        <w:rPr>
          <w:rFonts w:ascii="Times New Roman" w:hAnsi="Times New Roman" w:cs="Times New Roman"/>
          <w:i w:val="0"/>
          <w:sz w:val="24"/>
          <w:szCs w:val="24"/>
        </w:rPr>
        <w:t>d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a qual </w:t>
      </w:r>
      <w:r w:rsidR="00D60FAE" w:rsidRPr="00300667">
        <w:rPr>
          <w:rFonts w:ascii="Times New Roman" w:hAnsi="Times New Roman" w:cs="Times New Roman"/>
          <w:i w:val="0"/>
          <w:sz w:val="24"/>
          <w:szCs w:val="24"/>
        </w:rPr>
        <w:t>seja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integrante, na qualidade de não par</w:t>
      </w:r>
      <w:r w:rsidR="00497049" w:rsidRPr="00300667">
        <w:rPr>
          <w:rFonts w:ascii="Times New Roman" w:hAnsi="Times New Roman" w:cs="Times New Roman"/>
          <w:i w:val="0"/>
          <w:sz w:val="24"/>
          <w:szCs w:val="24"/>
        </w:rPr>
        <w:t>ti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cipante, para aqueles itens p</w:t>
      </w:r>
      <w:r w:rsidR="00CB3602" w:rsidRPr="00300667">
        <w:rPr>
          <w:rFonts w:ascii="Times New Roman" w:hAnsi="Times New Roman" w:cs="Times New Roman"/>
          <w:i w:val="0"/>
          <w:sz w:val="24"/>
          <w:szCs w:val="24"/>
        </w:rPr>
        <w:t xml:space="preserve">ara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os quais não tenha quan</w:t>
      </w:r>
      <w:r w:rsidR="00497049" w:rsidRPr="00300667">
        <w:rPr>
          <w:rFonts w:ascii="Times New Roman" w:hAnsi="Times New Roman" w:cs="Times New Roman"/>
          <w:i w:val="0"/>
          <w:sz w:val="24"/>
          <w:szCs w:val="24"/>
        </w:rPr>
        <w:t>ti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ta</w:t>
      </w:r>
      <w:r w:rsidR="00497049" w:rsidRPr="00300667">
        <w:rPr>
          <w:rFonts w:ascii="Times New Roman" w:hAnsi="Times New Roman" w:cs="Times New Roman"/>
          <w:i w:val="0"/>
          <w:sz w:val="24"/>
          <w:szCs w:val="24"/>
        </w:rPr>
        <w:t>ti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vo</w:t>
      </w:r>
      <w:r w:rsidR="00C8173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registrado, observados os requisitos do </w:t>
      </w:r>
      <w:r w:rsidR="00497049" w:rsidRPr="00300667">
        <w:rPr>
          <w:rFonts w:ascii="Times New Roman" w:hAnsi="Times New Roman" w:cs="Times New Roman"/>
          <w:i w:val="0"/>
          <w:sz w:val="24"/>
          <w:szCs w:val="24"/>
        </w:rPr>
        <w:t>item 4.1.</w:t>
      </w:r>
    </w:p>
    <w:p w:rsidR="00DF61B6" w:rsidRPr="00300667" w:rsidRDefault="00DF61B6" w:rsidP="00750EA5">
      <w:pPr>
        <w:pStyle w:val="SubTitNN"/>
        <w:spacing w:before="12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0667">
        <w:rPr>
          <w:rFonts w:ascii="Times New Roman" w:hAnsi="Times New Roman" w:cs="Times New Roman"/>
          <w:color w:val="FF0000"/>
          <w:sz w:val="24"/>
          <w:szCs w:val="24"/>
        </w:rPr>
        <w:t>Dos limites para as adesões</w:t>
      </w:r>
    </w:p>
    <w:p w:rsidR="00BE6356" w:rsidRPr="00300667" w:rsidRDefault="006362AE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As aquisições ou contratações adicionais não poderão exceder, por órgão ou entidade, </w:t>
      </w:r>
      <w:r w:rsidR="008166F1" w:rsidRPr="00300667">
        <w:rPr>
          <w:rFonts w:ascii="Times New Roman" w:hAnsi="Times New Roman" w:cs="Times New Roman"/>
          <w:i w:val="0"/>
          <w:sz w:val="24"/>
          <w:szCs w:val="24"/>
        </w:rPr>
        <w:t xml:space="preserve">a </w:t>
      </w:r>
      <w:r w:rsidR="007A7FCD" w:rsidRPr="00300667">
        <w:rPr>
          <w:rFonts w:ascii="Times New Roman" w:hAnsi="Times New Roman" w:cs="Times New Roman"/>
          <w:i w:val="0"/>
          <w:sz w:val="24"/>
          <w:szCs w:val="24"/>
        </w:rPr>
        <w:t>50% (</w:t>
      </w:r>
      <w:r w:rsidR="00B7252A" w:rsidRPr="00300667">
        <w:rPr>
          <w:rFonts w:ascii="Times New Roman" w:hAnsi="Times New Roman" w:cs="Times New Roman"/>
          <w:i w:val="0"/>
          <w:sz w:val="24"/>
          <w:szCs w:val="24"/>
        </w:rPr>
        <w:t xml:space="preserve">cinquenta 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>por cento</w:t>
      </w:r>
      <w:r w:rsidR="007A7FCD" w:rsidRPr="00300667">
        <w:rPr>
          <w:rFonts w:ascii="Times New Roman" w:hAnsi="Times New Roman" w:cs="Times New Roman"/>
          <w:i w:val="0"/>
          <w:sz w:val="24"/>
          <w:szCs w:val="24"/>
        </w:rPr>
        <w:t>)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dos quantitativos dos itens do instrumento convocatório registrados na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ta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R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egistro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P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reços para o gerenciador e </w:t>
      </w:r>
      <w:r w:rsidR="001D6F7A" w:rsidRPr="00300667">
        <w:rPr>
          <w:rFonts w:ascii="Times New Roman" w:hAnsi="Times New Roman" w:cs="Times New Roman"/>
          <w:i w:val="0"/>
          <w:sz w:val="24"/>
          <w:szCs w:val="24"/>
        </w:rPr>
        <w:t>para os</w:t>
      </w:r>
      <w:r w:rsidRPr="00300667">
        <w:rPr>
          <w:rFonts w:ascii="Times New Roman" w:hAnsi="Times New Roman" w:cs="Times New Roman"/>
          <w:i w:val="0"/>
          <w:sz w:val="24"/>
          <w:szCs w:val="24"/>
        </w:rPr>
        <w:t xml:space="preserve"> participantes.</w:t>
      </w:r>
    </w:p>
    <w:p w:rsidR="00992BB5" w:rsidRPr="00300667" w:rsidRDefault="00992BB5" w:rsidP="00750EA5">
      <w:pPr>
        <w:pStyle w:val="Nvel2-Red"/>
        <w:spacing w:line="240" w:lineRule="auto"/>
        <w:rPr>
          <w:rFonts w:ascii="Times New Roman" w:hAnsi="Times New Roman" w:cs="Times New Roman"/>
          <w:i w:val="0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sz w:val="24"/>
          <w:szCs w:val="24"/>
        </w:rPr>
        <w:t>O quantitativo decorrente das adesões não poderá ex</w:t>
      </w:r>
      <w:r w:rsidR="008E1884" w:rsidRPr="00300667">
        <w:rPr>
          <w:rFonts w:ascii="Times New Roman" w:hAnsi="Times New Roman" w:cs="Times New Roman"/>
          <w:i w:val="0"/>
          <w:sz w:val="24"/>
          <w:szCs w:val="24"/>
        </w:rPr>
        <w:t xml:space="preserve">ceder, na totalidade, </w:t>
      </w:r>
      <w:r w:rsidR="001D6F7A" w:rsidRPr="00300667">
        <w:rPr>
          <w:rFonts w:ascii="Times New Roman" w:hAnsi="Times New Roman" w:cs="Times New Roman"/>
          <w:i w:val="0"/>
          <w:sz w:val="24"/>
          <w:szCs w:val="24"/>
        </w:rPr>
        <w:t xml:space="preserve">ao dobro </w:t>
      </w:r>
      <w:r w:rsidR="008E1884" w:rsidRPr="00300667">
        <w:rPr>
          <w:rFonts w:ascii="Times New Roman" w:hAnsi="Times New Roman" w:cs="Times New Roman"/>
          <w:i w:val="0"/>
          <w:sz w:val="24"/>
          <w:szCs w:val="24"/>
        </w:rPr>
        <w:t xml:space="preserve">do quantitativo de cada item registrado na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="008E1884" w:rsidRPr="00300667">
        <w:rPr>
          <w:rFonts w:ascii="Times New Roman" w:hAnsi="Times New Roman" w:cs="Times New Roman"/>
          <w:i w:val="0"/>
          <w:sz w:val="24"/>
          <w:szCs w:val="24"/>
        </w:rPr>
        <w:t xml:space="preserve">ta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R</w:t>
      </w:r>
      <w:r w:rsidR="008E1884" w:rsidRPr="00300667">
        <w:rPr>
          <w:rFonts w:ascii="Times New Roman" w:hAnsi="Times New Roman" w:cs="Times New Roman"/>
          <w:i w:val="0"/>
          <w:sz w:val="24"/>
          <w:szCs w:val="24"/>
        </w:rPr>
        <w:t xml:space="preserve">egistro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P</w:t>
      </w:r>
      <w:r w:rsidR="008E1884" w:rsidRPr="00300667">
        <w:rPr>
          <w:rFonts w:ascii="Times New Roman" w:hAnsi="Times New Roman" w:cs="Times New Roman"/>
          <w:i w:val="0"/>
          <w:sz w:val="24"/>
          <w:szCs w:val="24"/>
        </w:rPr>
        <w:t xml:space="preserve">reços para </w:t>
      </w:r>
      <w:r w:rsidR="00890185" w:rsidRPr="00300667">
        <w:rPr>
          <w:rFonts w:ascii="Times New Roman" w:hAnsi="Times New Roman" w:cs="Times New Roman"/>
          <w:i w:val="0"/>
          <w:sz w:val="24"/>
          <w:szCs w:val="24"/>
        </w:rPr>
        <w:t>o gerenciador e os participantes</w:t>
      </w:r>
      <w:r w:rsidR="00884A85" w:rsidRPr="00300667">
        <w:rPr>
          <w:rFonts w:ascii="Times New Roman" w:hAnsi="Times New Roman" w:cs="Times New Roman"/>
          <w:i w:val="0"/>
          <w:sz w:val="24"/>
          <w:szCs w:val="24"/>
        </w:rPr>
        <w:t>, independentemente do número de órgãos ou entidades não participantes que aderirem</w:t>
      </w:r>
      <w:r w:rsidR="00091113" w:rsidRPr="00300667">
        <w:rPr>
          <w:rFonts w:ascii="Times New Roman" w:hAnsi="Times New Roman" w:cs="Times New Roman"/>
          <w:i w:val="0"/>
          <w:sz w:val="24"/>
          <w:szCs w:val="24"/>
        </w:rPr>
        <w:t xml:space="preserve"> à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A</w:t>
      </w:r>
      <w:r w:rsidR="00091113" w:rsidRPr="00300667">
        <w:rPr>
          <w:rFonts w:ascii="Times New Roman" w:hAnsi="Times New Roman" w:cs="Times New Roman"/>
          <w:i w:val="0"/>
          <w:sz w:val="24"/>
          <w:szCs w:val="24"/>
        </w:rPr>
        <w:t xml:space="preserve">ta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R</w:t>
      </w:r>
      <w:r w:rsidR="00091113" w:rsidRPr="00300667">
        <w:rPr>
          <w:rFonts w:ascii="Times New Roman" w:hAnsi="Times New Roman" w:cs="Times New Roman"/>
          <w:i w:val="0"/>
          <w:sz w:val="24"/>
          <w:szCs w:val="24"/>
        </w:rPr>
        <w:t xml:space="preserve">egistro de </w:t>
      </w:r>
      <w:r w:rsidR="00B93B54" w:rsidRPr="00300667">
        <w:rPr>
          <w:rFonts w:ascii="Times New Roman" w:hAnsi="Times New Roman" w:cs="Times New Roman"/>
          <w:i w:val="0"/>
          <w:sz w:val="24"/>
          <w:szCs w:val="24"/>
        </w:rPr>
        <w:t>P</w:t>
      </w:r>
      <w:r w:rsidR="00091113" w:rsidRPr="00300667">
        <w:rPr>
          <w:rFonts w:ascii="Times New Roman" w:hAnsi="Times New Roman" w:cs="Times New Roman"/>
          <w:i w:val="0"/>
          <w:sz w:val="24"/>
          <w:szCs w:val="24"/>
        </w:rPr>
        <w:t>reços</w:t>
      </w:r>
      <w:r w:rsidR="00884A85" w:rsidRPr="0030066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784168" w:rsidRPr="00300667" w:rsidRDefault="006C3A88" w:rsidP="00750EA5">
      <w:pPr>
        <w:pStyle w:val="Nivel2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A adesão à </w:t>
      </w:r>
      <w:r w:rsidR="00B93B54" w:rsidRPr="00300667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ta de </w:t>
      </w:r>
      <w:r w:rsidR="00B93B54" w:rsidRPr="00300667">
        <w:rPr>
          <w:rFonts w:ascii="Times New Roman" w:hAnsi="Times New Roman" w:cs="Times New Roman"/>
          <w:color w:val="FF0000"/>
          <w:sz w:val="24"/>
          <w:szCs w:val="24"/>
        </w:rPr>
        <w:t>R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 xml:space="preserve">egistro de </w:t>
      </w:r>
      <w:r w:rsidR="00B93B54" w:rsidRPr="00300667">
        <w:rPr>
          <w:rFonts w:ascii="Times New Roman" w:hAnsi="Times New Roman" w:cs="Times New Roman"/>
          <w:color w:val="FF0000"/>
          <w:sz w:val="24"/>
          <w:szCs w:val="24"/>
        </w:rPr>
        <w:t>P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reços por órgãos e en</w:t>
      </w:r>
      <w:r w:rsidRPr="00300667">
        <w:rPr>
          <w:rFonts w:ascii="Times New Roman" w:eastAsia="Arial" w:hAnsi="Times New Roman" w:cs="Times New Roman"/>
          <w:color w:val="FF0000"/>
          <w:sz w:val="24"/>
          <w:szCs w:val="24"/>
        </w:rPr>
        <w:t>ti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dades da Administração Pública distrital e municipal poderá ser exigida para fin</w:t>
      </w:r>
      <w:r w:rsidR="009C7A60" w:rsidRPr="00300667">
        <w:rPr>
          <w:rFonts w:ascii="Times New Roman" w:hAnsi="Times New Roman" w:cs="Times New Roman"/>
          <w:color w:val="FF0000"/>
          <w:sz w:val="24"/>
          <w:szCs w:val="24"/>
        </w:rPr>
        <w:t>s de transferências voluntárias</w:t>
      </w:r>
      <w:r w:rsidRPr="0030066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6123D" w:rsidRPr="00300667" w:rsidRDefault="0096123D" w:rsidP="00750EA5">
      <w:pPr>
        <w:pStyle w:val="SubTitNN"/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Vedação a acréscimo de quantitativos</w:t>
      </w:r>
    </w:p>
    <w:p w:rsidR="00784168" w:rsidRPr="00300667" w:rsidRDefault="0096123D" w:rsidP="00D5069B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É vedado efetuar acréscimos nos quantitativos fixados na </w:t>
      </w:r>
      <w:r w:rsidR="00F97789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F97789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F97789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</w:t>
      </w:r>
      <w:r w:rsidR="00700A54" w:rsidRPr="00300667">
        <w:rPr>
          <w:rFonts w:ascii="Times New Roman" w:hAnsi="Times New Roman" w:cs="Times New Roman"/>
          <w:sz w:val="24"/>
          <w:szCs w:val="24"/>
        </w:rPr>
        <w:t>.</w:t>
      </w:r>
    </w:p>
    <w:p w:rsidR="00D1456C" w:rsidRPr="00300667" w:rsidRDefault="00D1456C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VALIDADE</w:t>
      </w:r>
      <w:r w:rsidR="00F2788D" w:rsidRPr="00300667">
        <w:rPr>
          <w:rFonts w:ascii="Times New Roman" w:hAnsi="Times New Roman" w:cs="Times New Roman"/>
          <w:sz w:val="24"/>
          <w:szCs w:val="24"/>
        </w:rPr>
        <w:t xml:space="preserve">, </w:t>
      </w:r>
      <w:r w:rsidRPr="00300667">
        <w:rPr>
          <w:rFonts w:ascii="Times New Roman" w:hAnsi="Times New Roman" w:cs="Times New Roman"/>
          <w:sz w:val="24"/>
          <w:szCs w:val="24"/>
        </w:rPr>
        <w:t>FORMALIZAÇÃO DA ATA DE REGISTRO DE PREÇOS</w:t>
      </w:r>
      <w:r w:rsidR="00590DA7" w:rsidRPr="00300667">
        <w:rPr>
          <w:rFonts w:ascii="Times New Roman" w:hAnsi="Times New Roman" w:cs="Times New Roman"/>
          <w:sz w:val="24"/>
          <w:szCs w:val="24"/>
        </w:rPr>
        <w:t xml:space="preserve"> E CA</w:t>
      </w:r>
      <w:r w:rsidR="000439CC" w:rsidRPr="00300667">
        <w:rPr>
          <w:rFonts w:ascii="Times New Roman" w:hAnsi="Times New Roman" w:cs="Times New Roman"/>
          <w:sz w:val="24"/>
          <w:szCs w:val="24"/>
        </w:rPr>
        <w:t>DASTRO RESERVA</w:t>
      </w:r>
    </w:p>
    <w:p w:rsidR="00C36C9F" w:rsidRPr="00300667" w:rsidRDefault="00CB46FC" w:rsidP="00750EA5">
      <w:pPr>
        <w:pStyle w:val="Nivel2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A validade da Ata de Registro de Preços será de</w:t>
      </w:r>
      <w:r w:rsidR="00A57D0E" w:rsidRPr="00300667">
        <w:rPr>
          <w:rFonts w:ascii="Times New Roman" w:hAnsi="Times New Roman" w:cs="Times New Roman"/>
          <w:sz w:val="24"/>
          <w:szCs w:val="24"/>
        </w:rPr>
        <w:t xml:space="preserve"> 1 (um) ano, contado a</w:t>
      </w:r>
      <w:r w:rsidRPr="00300667">
        <w:rPr>
          <w:rFonts w:ascii="Times New Roman" w:hAnsi="Times New Roman" w:cs="Times New Roman"/>
          <w:sz w:val="24"/>
          <w:szCs w:val="24"/>
        </w:rPr>
        <w:t>partir do</w:t>
      </w:r>
      <w:r w:rsidR="00FB6A43" w:rsidRPr="00300667">
        <w:rPr>
          <w:rFonts w:ascii="Times New Roman" w:hAnsi="Times New Roman" w:cs="Times New Roman"/>
          <w:sz w:val="24"/>
          <w:szCs w:val="24"/>
        </w:rPr>
        <w:t xml:space="preserve"> primeiro dia útil subsequente à data de divulgação no </w:t>
      </w:r>
      <w:r w:rsidR="00F307E4" w:rsidRPr="00300667">
        <w:rPr>
          <w:rFonts w:ascii="Times New Roman" w:hAnsi="Times New Roman" w:cs="Times New Roman"/>
          <w:sz w:val="24"/>
          <w:szCs w:val="24"/>
        </w:rPr>
        <w:t xml:space="preserve">Portal Nacional de Contratações Públicas – </w:t>
      </w:r>
      <w:r w:rsidR="00FB6A43" w:rsidRPr="00300667">
        <w:rPr>
          <w:rFonts w:ascii="Times New Roman" w:hAnsi="Times New Roman" w:cs="Times New Roman"/>
          <w:sz w:val="24"/>
          <w:szCs w:val="24"/>
        </w:rPr>
        <w:t>PNCP</w:t>
      </w:r>
      <w:r w:rsidRPr="00300667">
        <w:rPr>
          <w:rFonts w:ascii="Times New Roman" w:hAnsi="Times New Roman" w:cs="Times New Roman"/>
          <w:sz w:val="24"/>
          <w:szCs w:val="24"/>
        </w:rPr>
        <w:t xml:space="preserve">, </w:t>
      </w:r>
      <w:r w:rsidR="00F12A31" w:rsidRPr="00300667">
        <w:rPr>
          <w:rFonts w:ascii="Times New Roman" w:hAnsi="Times New Roman" w:cs="Times New Roman"/>
          <w:sz w:val="24"/>
          <w:szCs w:val="24"/>
        </w:rPr>
        <w:t>podendo ser prorrogada</w:t>
      </w:r>
      <w:r w:rsidR="006C3A88" w:rsidRPr="00300667">
        <w:rPr>
          <w:rFonts w:ascii="Times New Roman" w:hAnsi="Times New Roman" w:cs="Times New Roman"/>
          <w:sz w:val="24"/>
          <w:szCs w:val="24"/>
        </w:rPr>
        <w:t xml:space="preserve"> por igual período, mediante </w:t>
      </w:r>
      <w:r w:rsidR="00A57D0E" w:rsidRPr="00300667">
        <w:rPr>
          <w:rFonts w:ascii="Times New Roman" w:hAnsi="Times New Roman" w:cs="Times New Roman"/>
          <w:sz w:val="24"/>
          <w:szCs w:val="24"/>
        </w:rPr>
        <w:t xml:space="preserve">a </w:t>
      </w:r>
      <w:r w:rsidR="006C3A88" w:rsidRPr="00300667">
        <w:rPr>
          <w:rFonts w:ascii="Times New Roman" w:hAnsi="Times New Roman" w:cs="Times New Roman"/>
          <w:sz w:val="24"/>
          <w:szCs w:val="24"/>
        </w:rPr>
        <w:t>anuência d</w:t>
      </w:r>
      <w:r w:rsidR="0081278D" w:rsidRPr="00300667">
        <w:rPr>
          <w:rFonts w:ascii="Times New Roman" w:hAnsi="Times New Roman" w:cs="Times New Roman"/>
          <w:sz w:val="24"/>
          <w:szCs w:val="24"/>
        </w:rPr>
        <w:t>o fornecedor,</w:t>
      </w:r>
      <w:r w:rsidR="006C3A88" w:rsidRPr="00300667">
        <w:rPr>
          <w:rFonts w:ascii="Times New Roman" w:hAnsi="Times New Roman" w:cs="Times New Roman"/>
          <w:sz w:val="24"/>
          <w:szCs w:val="24"/>
        </w:rPr>
        <w:t xml:space="preserve"> desde que comprovado o preço vantajoso</w:t>
      </w:r>
      <w:r w:rsidRPr="00300667">
        <w:rPr>
          <w:rFonts w:ascii="Times New Roman" w:hAnsi="Times New Roman" w:cs="Times New Roman"/>
          <w:sz w:val="24"/>
          <w:szCs w:val="24"/>
        </w:rPr>
        <w:t>.</w:t>
      </w:r>
    </w:p>
    <w:p w:rsidR="00B63622" w:rsidRPr="00300667" w:rsidRDefault="00B63622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contrato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decorrente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da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72EE3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>ta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de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72EE3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>egistro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de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72EE3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terá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sua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vigência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estabelecida n</w:t>
      </w:r>
      <w:r w:rsidR="007B596E" w:rsidRPr="00300667">
        <w:rPr>
          <w:rFonts w:ascii="Times New Roman" w:hAnsi="Times New Roman" w:cs="Times New Roman"/>
          <w:sz w:val="24"/>
          <w:szCs w:val="24"/>
        </w:rPr>
        <w:t>o próprio instrumento contratual</w:t>
      </w:r>
      <w:r w:rsidR="00733E8B" w:rsidRPr="00300667">
        <w:rPr>
          <w:rFonts w:ascii="Times New Roman" w:hAnsi="Times New Roman" w:cs="Times New Roman"/>
          <w:sz w:val="24"/>
          <w:szCs w:val="24"/>
        </w:rPr>
        <w:t xml:space="preserve"> e observará </w:t>
      </w:r>
      <w:r w:rsidR="0000620C" w:rsidRPr="00300667">
        <w:rPr>
          <w:rFonts w:ascii="Times New Roman" w:hAnsi="Times New Roman" w:cs="Times New Roman"/>
          <w:sz w:val="24"/>
          <w:szCs w:val="24"/>
        </w:rPr>
        <w:t>no momento da contratação e a cada exercício financeiro a disponibilidade de créditos orçamentários, bem como a previsão no plano plurianual, quando ultrapassar 1 (um) exercício financeiro</w:t>
      </w:r>
      <w:r w:rsidRPr="00300667">
        <w:rPr>
          <w:rFonts w:ascii="Times New Roman" w:hAnsi="Times New Roman" w:cs="Times New Roman"/>
          <w:sz w:val="24"/>
          <w:szCs w:val="24"/>
        </w:rPr>
        <w:t>.</w:t>
      </w:r>
    </w:p>
    <w:p w:rsidR="002C0964" w:rsidRPr="00300667" w:rsidRDefault="00EC3A79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Na formalização do contrato ou do instrumento substituto deverá haver a indicação da disponibilidade dos créditos orçamentários respectivos.</w:t>
      </w:r>
    </w:p>
    <w:p w:rsidR="00C74737" w:rsidRPr="00300667" w:rsidRDefault="00C74737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 contratação com os fornecedores registrados na ata será formalizada pelo órgãoou </w:t>
      </w:r>
      <w:r w:rsidR="00310A99" w:rsidRPr="00300667">
        <w:rPr>
          <w:rFonts w:ascii="Times New Roman" w:hAnsi="Times New Roman" w:cs="Times New Roman"/>
          <w:sz w:val="24"/>
          <w:szCs w:val="24"/>
        </w:rPr>
        <w:t xml:space="preserve">pela </w:t>
      </w:r>
      <w:r w:rsidRPr="00300667">
        <w:rPr>
          <w:rFonts w:ascii="Times New Roman" w:hAnsi="Times New Roman" w:cs="Times New Roman"/>
          <w:sz w:val="24"/>
          <w:szCs w:val="24"/>
        </w:rPr>
        <w:t>en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dade interessad</w:t>
      </w:r>
      <w:r w:rsidR="008F6BA6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 por intermédio de instrumento contratual, emissão de nota de empenho dedespesa, autorização de compra ou outro instrumento hábil, conforme o art. 95 da Lei nº 14.133, de 2021.</w:t>
      </w:r>
    </w:p>
    <w:p w:rsidR="00C74737" w:rsidRPr="00300667" w:rsidRDefault="00C74737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O instrumento contratual de que trata </w:t>
      </w:r>
      <w:r w:rsidR="0007424F" w:rsidRPr="00300667">
        <w:rPr>
          <w:rFonts w:ascii="Times New Roman" w:hAnsi="Times New Roman" w:cs="Times New Roman"/>
          <w:sz w:val="24"/>
          <w:szCs w:val="24"/>
        </w:rPr>
        <w:t xml:space="preserve">o item 5.2. </w:t>
      </w:r>
      <w:r w:rsidRPr="00300667">
        <w:rPr>
          <w:rFonts w:ascii="Times New Roman" w:hAnsi="Times New Roman" w:cs="Times New Roman"/>
          <w:sz w:val="24"/>
          <w:szCs w:val="24"/>
        </w:rPr>
        <w:t xml:space="preserve">deverá ser assinado no prazo de validade da </w:t>
      </w:r>
      <w:r w:rsidR="00D72EE3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D72EE3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D72EE3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reços.</w:t>
      </w:r>
    </w:p>
    <w:p w:rsidR="002A3BFA" w:rsidRPr="00300667" w:rsidRDefault="002A3BFA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Os contr</w:t>
      </w:r>
      <w:r w:rsidR="008C274B" w:rsidRPr="00300667">
        <w:rPr>
          <w:rFonts w:ascii="Times New Roman" w:hAnsi="Times New Roman" w:cs="Times New Roman"/>
          <w:sz w:val="24"/>
          <w:szCs w:val="24"/>
        </w:rPr>
        <w:t>atos decorrentes do sistema de registro de preços poderão ser alterados, observado o art. 124 da Lei nº 14.133, de 2021.</w:t>
      </w:r>
    </w:p>
    <w:p w:rsidR="00666FEB" w:rsidRPr="00300667" w:rsidRDefault="00666FEB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Após a homologação da licitação ou da contratação direta, deverão ser observadas as seguintes condições para formalização da </w:t>
      </w:r>
      <w:r w:rsidR="00D72EE3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D72EE3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D72EE3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</w:t>
      </w:r>
      <w:r w:rsidR="0001166A" w:rsidRPr="00300667">
        <w:rPr>
          <w:rFonts w:ascii="Times New Roman" w:hAnsi="Times New Roman" w:cs="Times New Roman"/>
          <w:sz w:val="24"/>
          <w:szCs w:val="24"/>
        </w:rPr>
        <w:t>:</w:t>
      </w:r>
    </w:p>
    <w:p w:rsidR="00666FEB" w:rsidRPr="00300667" w:rsidRDefault="00D1147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lastRenderedPageBreak/>
        <w:t>S</w:t>
      </w:r>
      <w:r w:rsidR="00666FEB" w:rsidRPr="00300667">
        <w:rPr>
          <w:rFonts w:ascii="Times New Roman" w:hAnsi="Times New Roman" w:cs="Times New Roman"/>
          <w:sz w:val="24"/>
          <w:szCs w:val="24"/>
        </w:rPr>
        <w:t>erão registrados na ata os preços e os quan</w:t>
      </w:r>
      <w:r w:rsidR="00063172" w:rsidRPr="00300667">
        <w:rPr>
          <w:rFonts w:ascii="Times New Roman" w:hAnsi="Times New Roman" w:cs="Times New Roman"/>
          <w:sz w:val="24"/>
          <w:szCs w:val="24"/>
        </w:rPr>
        <w:t>ti</w:t>
      </w:r>
      <w:r w:rsidR="00666FEB" w:rsidRPr="00300667">
        <w:rPr>
          <w:rFonts w:ascii="Times New Roman" w:hAnsi="Times New Roman" w:cs="Times New Roman"/>
          <w:sz w:val="24"/>
          <w:szCs w:val="24"/>
        </w:rPr>
        <w:t>ta</w:t>
      </w:r>
      <w:r w:rsidR="00063172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66FEB" w:rsidRPr="00300667">
        <w:rPr>
          <w:rFonts w:ascii="Times New Roman" w:hAnsi="Times New Roman" w:cs="Times New Roman"/>
          <w:sz w:val="24"/>
          <w:szCs w:val="24"/>
        </w:rPr>
        <w:t>vos do adjudicatário</w:t>
      </w:r>
      <w:r w:rsidR="0069006D" w:rsidRPr="00300667">
        <w:rPr>
          <w:rFonts w:ascii="Times New Roman" w:hAnsi="Times New Roman" w:cs="Times New Roman"/>
          <w:sz w:val="24"/>
          <w:szCs w:val="24"/>
        </w:rPr>
        <w:t>, devendo ser observad</w:t>
      </w:r>
      <w:r w:rsidR="005F6486" w:rsidRPr="00300667">
        <w:rPr>
          <w:rFonts w:ascii="Times New Roman" w:hAnsi="Times New Roman" w:cs="Times New Roman"/>
          <w:sz w:val="24"/>
          <w:szCs w:val="24"/>
        </w:rPr>
        <w:t>a</w:t>
      </w:r>
      <w:r w:rsidR="0069006D" w:rsidRPr="00300667">
        <w:rPr>
          <w:rFonts w:ascii="Times New Roman" w:hAnsi="Times New Roman" w:cs="Times New Roman"/>
          <w:sz w:val="24"/>
          <w:szCs w:val="24"/>
        </w:rPr>
        <w:t xml:space="preserve"> a possibilidade de o licitante oferecer ou não proposta em quantitativo inferior ao máximo previsto </w:t>
      </w:r>
      <w:r w:rsidR="00C24103" w:rsidRPr="00300667">
        <w:rPr>
          <w:rFonts w:ascii="Times New Roman" w:hAnsi="Times New Roman" w:cs="Times New Roman"/>
          <w:sz w:val="24"/>
          <w:szCs w:val="24"/>
        </w:rPr>
        <w:t>n</w:t>
      </w:r>
      <w:r w:rsidR="0069006D" w:rsidRPr="00300667">
        <w:rPr>
          <w:rFonts w:ascii="Times New Roman" w:hAnsi="Times New Roman" w:cs="Times New Roman"/>
          <w:sz w:val="24"/>
          <w:szCs w:val="24"/>
        </w:rPr>
        <w:t xml:space="preserve">o </w:t>
      </w:r>
      <w:r w:rsidR="00C24103" w:rsidRPr="00300667">
        <w:rPr>
          <w:rFonts w:ascii="Times New Roman" w:hAnsi="Times New Roman" w:cs="Times New Roman"/>
          <w:sz w:val="24"/>
          <w:szCs w:val="24"/>
        </w:rPr>
        <w:t>E</w:t>
      </w:r>
      <w:r w:rsidR="0069006D" w:rsidRPr="00300667">
        <w:rPr>
          <w:rFonts w:ascii="Times New Roman" w:hAnsi="Times New Roman" w:cs="Times New Roman"/>
          <w:sz w:val="24"/>
          <w:szCs w:val="24"/>
        </w:rPr>
        <w:t>dital</w:t>
      </w:r>
      <w:r w:rsidR="00A14006" w:rsidRPr="00300667">
        <w:rPr>
          <w:rFonts w:ascii="Times New Roman" w:hAnsi="Times New Roman" w:cs="Times New Roman"/>
          <w:sz w:val="24"/>
          <w:szCs w:val="24"/>
        </w:rPr>
        <w:t xml:space="preserve"> ou </w:t>
      </w:r>
      <w:r w:rsidR="0069006D" w:rsidRPr="00300667">
        <w:rPr>
          <w:rFonts w:ascii="Times New Roman" w:hAnsi="Times New Roman" w:cs="Times New Roman"/>
          <w:sz w:val="24"/>
          <w:szCs w:val="24"/>
        </w:rPr>
        <w:t xml:space="preserve">no </w:t>
      </w:r>
      <w:r w:rsidR="00C24103" w:rsidRPr="00300667">
        <w:rPr>
          <w:rFonts w:ascii="Times New Roman" w:hAnsi="Times New Roman" w:cs="Times New Roman"/>
          <w:sz w:val="24"/>
          <w:szCs w:val="24"/>
        </w:rPr>
        <w:t>A</w:t>
      </w:r>
      <w:r w:rsidR="0069006D" w:rsidRPr="00300667">
        <w:rPr>
          <w:rFonts w:ascii="Times New Roman" w:hAnsi="Times New Roman" w:cs="Times New Roman"/>
          <w:sz w:val="24"/>
          <w:szCs w:val="24"/>
        </w:rPr>
        <w:t xml:space="preserve">viso de </w:t>
      </w:r>
      <w:r w:rsidR="00C24103" w:rsidRPr="00300667">
        <w:rPr>
          <w:rFonts w:ascii="Times New Roman" w:hAnsi="Times New Roman" w:cs="Times New Roman"/>
          <w:sz w:val="24"/>
          <w:szCs w:val="24"/>
        </w:rPr>
        <w:t>C</w:t>
      </w:r>
      <w:r w:rsidR="0069006D" w:rsidRPr="00300667">
        <w:rPr>
          <w:rFonts w:ascii="Times New Roman" w:hAnsi="Times New Roman" w:cs="Times New Roman"/>
          <w:sz w:val="24"/>
          <w:szCs w:val="24"/>
        </w:rPr>
        <w:t xml:space="preserve">ontratação </w:t>
      </w:r>
      <w:r w:rsidR="00C24103" w:rsidRPr="00300667">
        <w:rPr>
          <w:rFonts w:ascii="Times New Roman" w:hAnsi="Times New Roman" w:cs="Times New Roman"/>
          <w:sz w:val="24"/>
          <w:szCs w:val="24"/>
        </w:rPr>
        <w:t>D</w:t>
      </w:r>
      <w:r w:rsidR="0069006D" w:rsidRPr="00300667">
        <w:rPr>
          <w:rFonts w:ascii="Times New Roman" w:hAnsi="Times New Roman" w:cs="Times New Roman"/>
          <w:sz w:val="24"/>
          <w:szCs w:val="24"/>
        </w:rPr>
        <w:t xml:space="preserve">iretae </w:t>
      </w:r>
      <w:r w:rsidR="005F6486" w:rsidRPr="00300667">
        <w:rPr>
          <w:rFonts w:ascii="Times New Roman" w:hAnsi="Times New Roman" w:cs="Times New Roman"/>
          <w:sz w:val="24"/>
          <w:szCs w:val="24"/>
        </w:rPr>
        <w:t xml:space="preserve">se </w:t>
      </w:r>
      <w:r w:rsidR="0069006D" w:rsidRPr="00300667">
        <w:rPr>
          <w:rFonts w:ascii="Times New Roman" w:hAnsi="Times New Roman" w:cs="Times New Roman"/>
          <w:sz w:val="24"/>
          <w:szCs w:val="24"/>
        </w:rPr>
        <w:t>obrigar nos limites dela</w:t>
      </w:r>
      <w:r w:rsidR="00063172" w:rsidRPr="00300667">
        <w:rPr>
          <w:rFonts w:ascii="Times New Roman" w:hAnsi="Times New Roman" w:cs="Times New Roman"/>
          <w:sz w:val="24"/>
          <w:szCs w:val="24"/>
        </w:rPr>
        <w:t>;</w:t>
      </w:r>
    </w:p>
    <w:p w:rsidR="00976D88" w:rsidRPr="00300667" w:rsidRDefault="00D1147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S</w:t>
      </w:r>
      <w:r w:rsidR="00666FEB" w:rsidRPr="00300667">
        <w:rPr>
          <w:rFonts w:ascii="Times New Roman" w:hAnsi="Times New Roman" w:cs="Times New Roman"/>
          <w:sz w:val="24"/>
          <w:szCs w:val="24"/>
        </w:rPr>
        <w:t>erá incluído na ata, na forma de anexo, o registro dos</w:t>
      </w:r>
      <w:r w:rsidR="00734ADF" w:rsidRPr="00300667">
        <w:rPr>
          <w:rFonts w:ascii="Times New Roman" w:hAnsi="Times New Roman" w:cs="Times New Roman"/>
          <w:sz w:val="24"/>
          <w:szCs w:val="24"/>
        </w:rPr>
        <w:t xml:space="preserve"> licitantes ou dos fornecedores</w:t>
      </w:r>
      <w:r w:rsidRPr="00300667">
        <w:rPr>
          <w:rFonts w:ascii="Times New Roman" w:hAnsi="Times New Roman" w:cs="Times New Roman"/>
          <w:sz w:val="24"/>
          <w:szCs w:val="24"/>
        </w:rPr>
        <w:t xml:space="preserve"> que</w:t>
      </w:r>
      <w:r w:rsidR="00976D88" w:rsidRPr="00300667">
        <w:rPr>
          <w:rFonts w:ascii="Times New Roman" w:hAnsi="Times New Roman" w:cs="Times New Roman"/>
          <w:sz w:val="24"/>
          <w:szCs w:val="24"/>
        </w:rPr>
        <w:t>:</w:t>
      </w:r>
    </w:p>
    <w:p w:rsidR="00734ADF" w:rsidRPr="00300667" w:rsidRDefault="00D11476" w:rsidP="00717BD3">
      <w:pPr>
        <w:pStyle w:val="Nvel4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A</w:t>
      </w:r>
      <w:r w:rsidR="00666FEB" w:rsidRPr="00300667">
        <w:rPr>
          <w:rFonts w:ascii="Times New Roman" w:hAnsi="Times New Roman" w:cs="Times New Roman"/>
          <w:sz w:val="24"/>
          <w:szCs w:val="24"/>
        </w:rPr>
        <w:t xml:space="preserve">ceitarem cotar os bens, </w:t>
      </w:r>
      <w:r w:rsidR="0011246B" w:rsidRPr="00300667">
        <w:rPr>
          <w:rFonts w:ascii="Times New Roman" w:hAnsi="Times New Roman" w:cs="Times New Roman"/>
          <w:sz w:val="24"/>
          <w:szCs w:val="24"/>
        </w:rPr>
        <w:t xml:space="preserve">as </w:t>
      </w:r>
      <w:r w:rsidR="00666FEB" w:rsidRPr="00300667">
        <w:rPr>
          <w:rFonts w:ascii="Times New Roman" w:hAnsi="Times New Roman" w:cs="Times New Roman"/>
          <w:sz w:val="24"/>
          <w:szCs w:val="24"/>
        </w:rPr>
        <w:t xml:space="preserve">obras ou </w:t>
      </w:r>
      <w:r w:rsidR="0011246B" w:rsidRPr="00300667">
        <w:rPr>
          <w:rFonts w:ascii="Times New Roman" w:hAnsi="Times New Roman" w:cs="Times New Roman"/>
          <w:sz w:val="24"/>
          <w:szCs w:val="24"/>
        </w:rPr>
        <w:t xml:space="preserve">os </w:t>
      </w:r>
      <w:r w:rsidR="00666FEB" w:rsidRPr="00300667">
        <w:rPr>
          <w:rFonts w:ascii="Times New Roman" w:hAnsi="Times New Roman" w:cs="Times New Roman"/>
          <w:sz w:val="24"/>
          <w:szCs w:val="24"/>
        </w:rPr>
        <w:t>serviços com preços iguais aos do adjudicatário</w:t>
      </w:r>
      <w:r w:rsidRPr="00300667">
        <w:rPr>
          <w:rFonts w:ascii="Times New Roman" w:hAnsi="Times New Roman" w:cs="Times New Roman"/>
          <w:sz w:val="24"/>
          <w:szCs w:val="24"/>
        </w:rPr>
        <w:t>, observada a classificação da licitação; e</w:t>
      </w:r>
    </w:p>
    <w:p w:rsidR="00D11476" w:rsidRPr="00300667" w:rsidRDefault="00D11476" w:rsidP="00717BD3">
      <w:pPr>
        <w:pStyle w:val="Nvel4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Mantiverem sua proposta original.</w:t>
      </w:r>
      <w:bookmarkStart w:id="1" w:name="cadastro_reserva"/>
      <w:bookmarkEnd w:id="1"/>
    </w:p>
    <w:p w:rsidR="00063172" w:rsidRPr="00300667" w:rsidRDefault="00D1147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S</w:t>
      </w:r>
      <w:r w:rsidR="00FE659B" w:rsidRPr="00300667">
        <w:rPr>
          <w:rFonts w:ascii="Times New Roman" w:hAnsi="Times New Roman" w:cs="Times New Roman"/>
          <w:sz w:val="24"/>
          <w:szCs w:val="24"/>
        </w:rPr>
        <w:t>erá respeitada, nas contratações, a ordem de classificação dos licitantes ou dos fornecedores registrados na ata</w:t>
      </w:r>
      <w:r w:rsidR="00666FEB" w:rsidRPr="00300667">
        <w:rPr>
          <w:rFonts w:ascii="Times New Roman" w:hAnsi="Times New Roman" w:cs="Times New Roman"/>
          <w:sz w:val="24"/>
          <w:szCs w:val="24"/>
        </w:rPr>
        <w:t>.</w:t>
      </w:r>
    </w:p>
    <w:p w:rsidR="00063172" w:rsidRPr="00300667" w:rsidRDefault="00666FEB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O registro a que se refere o </w:t>
      </w:r>
      <w:r w:rsidR="00063172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r w:rsidR="00564517" w:rsidRPr="00300667">
        <w:rPr>
          <w:rFonts w:ascii="Times New Roman" w:hAnsi="Times New Roman" w:cs="Times New Roman"/>
          <w:sz w:val="24"/>
          <w:szCs w:val="24"/>
        </w:rPr>
        <w:t>5.4.2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tem por obje</w:t>
      </w:r>
      <w:r w:rsidR="00063172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vo a formação de cadastro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 xml:space="preserve">de reserva </w:t>
      </w:r>
      <w:r w:rsidR="00A31D23" w:rsidRPr="00300667">
        <w:rPr>
          <w:rFonts w:ascii="Times New Roman" w:hAnsi="Times New Roman" w:cs="Times New Roman"/>
          <w:sz w:val="24"/>
          <w:szCs w:val="24"/>
        </w:rPr>
        <w:t xml:space="preserve">para </w:t>
      </w:r>
      <w:r w:rsidRPr="00300667">
        <w:rPr>
          <w:rFonts w:ascii="Times New Roman" w:hAnsi="Times New Roman" w:cs="Times New Roman"/>
          <w:sz w:val="24"/>
          <w:szCs w:val="24"/>
        </w:rPr>
        <w:t>o caso de impossibilidade de atendimento pelo signatário da ata.</w:t>
      </w:r>
    </w:p>
    <w:p w:rsidR="00063172" w:rsidRPr="00300667" w:rsidRDefault="00E90D8C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Para fins da ordem de classificação, os licitantes ou fornecedores que </w:t>
      </w:r>
      <w:r w:rsidR="00433744" w:rsidRPr="00300667">
        <w:rPr>
          <w:rFonts w:ascii="Times New Roman" w:hAnsi="Times New Roman" w:cs="Times New Roman"/>
          <w:sz w:val="24"/>
          <w:szCs w:val="24"/>
        </w:rPr>
        <w:t>aceitarem reduzir suas propostas para o preço do adjudicatário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 xml:space="preserve">antecederão aqueles </w:t>
      </w:r>
      <w:r w:rsidR="009706ED" w:rsidRPr="00300667">
        <w:rPr>
          <w:rFonts w:ascii="Times New Roman" w:hAnsi="Times New Roman" w:cs="Times New Roman"/>
          <w:sz w:val="24"/>
          <w:szCs w:val="24"/>
        </w:rPr>
        <w:t>que mantiverem sua proposta original</w:t>
      </w:r>
      <w:r w:rsidR="00666FEB" w:rsidRPr="00300667">
        <w:rPr>
          <w:rFonts w:ascii="Times New Roman" w:hAnsi="Times New Roman" w:cs="Times New Roman"/>
          <w:sz w:val="24"/>
          <w:szCs w:val="24"/>
        </w:rPr>
        <w:t>.</w:t>
      </w:r>
    </w:p>
    <w:p w:rsidR="00666FEB" w:rsidRPr="00300667" w:rsidRDefault="00666FEB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 habilitação dos licitantes que comporão o cadastro de reserva a que se refere o </w:t>
      </w:r>
      <w:r w:rsidR="00063172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fldSimple w:instr=" REF cadastro_reserva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5.4.2.2</w:t>
        </w:r>
      </w:fldSimple>
      <w:r w:rsidRPr="00300667">
        <w:rPr>
          <w:rFonts w:ascii="Times New Roman" w:hAnsi="Times New Roman" w:cs="Times New Roman"/>
          <w:sz w:val="24"/>
          <w:szCs w:val="24"/>
        </w:rPr>
        <w:t xml:space="preserve"> somente será efetuada quando houver necessidade de contratação dos licitantesremanescentes, nas seguintes </w:t>
      </w:r>
      <w:r w:rsidR="00FE4B87" w:rsidRPr="00300667">
        <w:rPr>
          <w:rFonts w:ascii="Times New Roman" w:hAnsi="Times New Roman" w:cs="Times New Roman"/>
          <w:sz w:val="24"/>
          <w:szCs w:val="24"/>
        </w:rPr>
        <w:t>hipóteses</w:t>
      </w:r>
      <w:r w:rsidRPr="00300667">
        <w:rPr>
          <w:rFonts w:ascii="Times New Roman" w:hAnsi="Times New Roman" w:cs="Times New Roman"/>
          <w:sz w:val="24"/>
          <w:szCs w:val="24"/>
        </w:rPr>
        <w:t>:</w:t>
      </w:r>
      <w:bookmarkStart w:id="2" w:name="habilitacao_reserva"/>
      <w:bookmarkEnd w:id="2"/>
    </w:p>
    <w:p w:rsidR="002A6165" w:rsidRPr="00300667" w:rsidRDefault="00D4329D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Q</w:t>
      </w:r>
      <w:r w:rsidR="00666FEB" w:rsidRPr="00300667">
        <w:rPr>
          <w:rFonts w:ascii="Times New Roman" w:hAnsi="Times New Roman" w:cs="Times New Roman"/>
          <w:sz w:val="24"/>
          <w:szCs w:val="24"/>
        </w:rPr>
        <w:t xml:space="preserve">uando o licitante vencedor não assinar a </w:t>
      </w:r>
      <w:r w:rsidR="00D72EE3" w:rsidRPr="00300667">
        <w:rPr>
          <w:rFonts w:ascii="Times New Roman" w:hAnsi="Times New Roman" w:cs="Times New Roman"/>
          <w:sz w:val="24"/>
          <w:szCs w:val="24"/>
        </w:rPr>
        <w:t>A</w:t>
      </w:r>
      <w:r w:rsidR="00666FEB"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D72EE3" w:rsidRPr="00300667">
        <w:rPr>
          <w:rFonts w:ascii="Times New Roman" w:hAnsi="Times New Roman" w:cs="Times New Roman"/>
          <w:sz w:val="24"/>
          <w:szCs w:val="24"/>
        </w:rPr>
        <w:t>R</w:t>
      </w:r>
      <w:r w:rsidR="00666FEB"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D72EE3" w:rsidRPr="00300667">
        <w:rPr>
          <w:rFonts w:ascii="Times New Roman" w:hAnsi="Times New Roman" w:cs="Times New Roman"/>
          <w:sz w:val="24"/>
          <w:szCs w:val="24"/>
        </w:rPr>
        <w:t>P</w:t>
      </w:r>
      <w:r w:rsidR="00666FEB" w:rsidRPr="00300667">
        <w:rPr>
          <w:rFonts w:ascii="Times New Roman" w:hAnsi="Times New Roman" w:cs="Times New Roman"/>
          <w:sz w:val="24"/>
          <w:szCs w:val="24"/>
        </w:rPr>
        <w:t>reços, no prazo e nas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666FEB" w:rsidRPr="00300667">
        <w:rPr>
          <w:rFonts w:ascii="Times New Roman" w:hAnsi="Times New Roman" w:cs="Times New Roman"/>
          <w:sz w:val="24"/>
          <w:szCs w:val="24"/>
        </w:rPr>
        <w:t xml:space="preserve">condições estabelecidos </w:t>
      </w:r>
      <w:r w:rsidR="00A14006" w:rsidRPr="00300667">
        <w:rPr>
          <w:rFonts w:ascii="Times New Roman" w:hAnsi="Times New Roman" w:cs="Times New Roman"/>
          <w:sz w:val="24"/>
          <w:szCs w:val="24"/>
        </w:rPr>
        <w:t>no Edital ou no Aviso de Contratação Direta</w:t>
      </w:r>
      <w:r w:rsidR="00666FEB" w:rsidRPr="00300667">
        <w:rPr>
          <w:rFonts w:ascii="Times New Roman" w:hAnsi="Times New Roman" w:cs="Times New Roman"/>
          <w:sz w:val="24"/>
          <w:szCs w:val="24"/>
        </w:rPr>
        <w:t>;</w:t>
      </w:r>
      <w:r w:rsidR="00767880">
        <w:rPr>
          <w:rFonts w:ascii="Times New Roman" w:hAnsi="Times New Roman" w:cs="Times New Roman"/>
          <w:sz w:val="24"/>
          <w:szCs w:val="24"/>
        </w:rPr>
        <w:t xml:space="preserve"> </w:t>
      </w:r>
      <w:r w:rsidR="00666FEB" w:rsidRPr="00300667">
        <w:rPr>
          <w:rFonts w:ascii="Times New Roman" w:hAnsi="Times New Roman" w:cs="Times New Roman"/>
          <w:sz w:val="24"/>
          <w:szCs w:val="24"/>
        </w:rPr>
        <w:t>e</w:t>
      </w:r>
    </w:p>
    <w:p w:rsidR="00666FEB" w:rsidRPr="00300667" w:rsidRDefault="00D4329D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Q</w:t>
      </w:r>
      <w:r w:rsidR="00666FEB" w:rsidRPr="00300667">
        <w:rPr>
          <w:rFonts w:ascii="Times New Roman" w:hAnsi="Times New Roman" w:cs="Times New Roman"/>
          <w:sz w:val="24"/>
          <w:szCs w:val="24"/>
        </w:rPr>
        <w:t xml:space="preserve">uando houver o cancelamento do registro do licitante ou do registro de preços nashipóteses previstas </w:t>
      </w:r>
      <w:r w:rsidR="00897794" w:rsidRPr="00300667">
        <w:rPr>
          <w:rFonts w:ascii="Times New Roman" w:hAnsi="Times New Roman" w:cs="Times New Roman"/>
          <w:sz w:val="24"/>
          <w:szCs w:val="24"/>
        </w:rPr>
        <w:t xml:space="preserve">no item </w:t>
      </w:r>
      <w:fldSimple w:instr=" REF cancelamento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9</w:t>
        </w:r>
      </w:fldSimple>
      <w:r w:rsidR="00666FEB" w:rsidRPr="00300667">
        <w:rPr>
          <w:rFonts w:ascii="Times New Roman" w:hAnsi="Times New Roman" w:cs="Times New Roman"/>
          <w:sz w:val="24"/>
          <w:szCs w:val="24"/>
        </w:rPr>
        <w:t>.</w:t>
      </w:r>
    </w:p>
    <w:p w:rsidR="00666FEB" w:rsidRPr="00300667" w:rsidRDefault="00666FEB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 preço registrado com indicação dos licitantes e fornecedores será divulgado no PNCP</w:t>
      </w:r>
      <w:r w:rsidR="00BA47CD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 xml:space="preserve">e ficará disponibilizado durante a vigência da </w:t>
      </w:r>
      <w:r w:rsidR="00D72EE3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D72EE3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D72EE3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reços.</w:t>
      </w:r>
    </w:p>
    <w:p w:rsidR="002A6165" w:rsidRPr="00300667" w:rsidRDefault="002A6165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Após a homologação da licitação ou da contratação direta, o licitante mais bem classificado ou o fornecedor, no caso da contratação direta, será convocado para assinar 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reços, no prazo e nas condições estabelecidos no edital de licitação ou no aviso de contratação direta, sob pena de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decair o direito, sem prejuízo das sanções previstas na Lei nº 14.133, de 2021.</w:t>
      </w:r>
    </w:p>
    <w:p w:rsidR="002A6165" w:rsidRPr="00300667" w:rsidRDefault="002A6165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 prazo de convocação poderá ser prorrogado 1 (uma) vez, por igual período, mediante solicitação d</w:t>
      </w:r>
      <w:r w:rsidR="00F3259D" w:rsidRPr="00300667">
        <w:rPr>
          <w:rFonts w:ascii="Times New Roman" w:hAnsi="Times New Roman" w:cs="Times New Roman"/>
          <w:sz w:val="24"/>
          <w:szCs w:val="24"/>
        </w:rPr>
        <w:t>o licitante ou fornecedor convocado</w:t>
      </w:r>
      <w:r w:rsidR="0066278D" w:rsidRPr="00300667">
        <w:rPr>
          <w:rFonts w:ascii="Times New Roman" w:hAnsi="Times New Roman" w:cs="Times New Roman"/>
          <w:sz w:val="24"/>
          <w:szCs w:val="24"/>
        </w:rPr>
        <w:t>, desde que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0A6B33" w:rsidRPr="00300667">
        <w:rPr>
          <w:rFonts w:ascii="Times New Roman" w:hAnsi="Times New Roman" w:cs="Times New Roman"/>
          <w:sz w:val="24"/>
          <w:szCs w:val="24"/>
        </w:rPr>
        <w:t>apresentada dentro do prazo</w:t>
      </w:r>
      <w:r w:rsidR="006D4D8C" w:rsidRPr="00300667">
        <w:rPr>
          <w:rFonts w:ascii="Times New Roman" w:hAnsi="Times New Roman" w:cs="Times New Roman"/>
          <w:sz w:val="24"/>
          <w:szCs w:val="24"/>
        </w:rPr>
        <w:t xml:space="preserve">, devidamente justificada, e que </w:t>
      </w:r>
      <w:r w:rsidR="00BE0ED4" w:rsidRPr="00300667">
        <w:rPr>
          <w:rFonts w:ascii="Times New Roman" w:hAnsi="Times New Roman" w:cs="Times New Roman"/>
          <w:sz w:val="24"/>
          <w:szCs w:val="24"/>
        </w:rPr>
        <w:t xml:space="preserve">a justificativa seja aceita pela </w:t>
      </w:r>
      <w:r w:rsidRPr="00300667">
        <w:rPr>
          <w:rFonts w:ascii="Times New Roman" w:hAnsi="Times New Roman" w:cs="Times New Roman"/>
          <w:sz w:val="24"/>
          <w:szCs w:val="24"/>
        </w:rPr>
        <w:t>Administração.</w:t>
      </w:r>
    </w:p>
    <w:p w:rsidR="002A6165" w:rsidRPr="00300667" w:rsidRDefault="002A6165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00F43" w:rsidRPr="00300667">
        <w:rPr>
          <w:rFonts w:ascii="Times New Roman" w:hAnsi="Times New Roman" w:cs="Times New Roman"/>
          <w:sz w:val="24"/>
          <w:szCs w:val="24"/>
        </w:rPr>
        <w:t>será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00F43" w:rsidRPr="00300667">
        <w:rPr>
          <w:rFonts w:ascii="Times New Roman" w:hAnsi="Times New Roman" w:cs="Times New Roman"/>
          <w:sz w:val="24"/>
          <w:szCs w:val="24"/>
        </w:rPr>
        <w:t>assinada por meio de assinatura digital e</w:t>
      </w:r>
      <w:r w:rsidRPr="00300667">
        <w:rPr>
          <w:rFonts w:ascii="Times New Roman" w:hAnsi="Times New Roman" w:cs="Times New Roman"/>
          <w:sz w:val="24"/>
          <w:szCs w:val="24"/>
        </w:rPr>
        <w:t xml:space="preserve"> disponibilizada no Sistema de Registro de Preços.</w:t>
      </w:r>
    </w:p>
    <w:p w:rsidR="00D4329D" w:rsidRPr="00300667" w:rsidRDefault="002A6165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Quando o convocado não assinar 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 xml:space="preserve">reços no prazo e </w:t>
      </w:r>
      <w:r w:rsidR="00F453F5" w:rsidRPr="00300667">
        <w:rPr>
          <w:rFonts w:ascii="Times New Roman" w:hAnsi="Times New Roman" w:cs="Times New Roman"/>
          <w:sz w:val="24"/>
          <w:szCs w:val="24"/>
        </w:rPr>
        <w:t xml:space="preserve">nas </w:t>
      </w:r>
      <w:r w:rsidRPr="00300667">
        <w:rPr>
          <w:rFonts w:ascii="Times New Roman" w:hAnsi="Times New Roman" w:cs="Times New Roman"/>
          <w:sz w:val="24"/>
          <w:szCs w:val="24"/>
        </w:rPr>
        <w:t>condições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 xml:space="preserve">estabelecidos </w:t>
      </w:r>
      <w:r w:rsidR="00BE6356" w:rsidRPr="00300667">
        <w:rPr>
          <w:rFonts w:ascii="Times New Roman" w:hAnsi="Times New Roman" w:cs="Times New Roman"/>
          <w:sz w:val="24"/>
          <w:szCs w:val="24"/>
        </w:rPr>
        <w:t>no edital</w:t>
      </w:r>
      <w:r w:rsidR="00F453F5" w:rsidRPr="00300667">
        <w:rPr>
          <w:rFonts w:ascii="Times New Roman" w:hAnsi="Times New Roman" w:cs="Times New Roman"/>
          <w:sz w:val="24"/>
          <w:szCs w:val="24"/>
        </w:rPr>
        <w:t xml:space="preserve"> ou no aviso de contratação</w:t>
      </w:r>
      <w:r w:rsidRPr="00300667">
        <w:rPr>
          <w:rFonts w:ascii="Times New Roman" w:hAnsi="Times New Roman" w:cs="Times New Roman"/>
          <w:sz w:val="24"/>
          <w:szCs w:val="24"/>
        </w:rPr>
        <w:t xml:space="preserve">, e observado o disposto no </w:t>
      </w:r>
      <w:r w:rsidR="00BE6356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fldSimple w:instr=" REF habilitacao_reserva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5.7</w:t>
        </w:r>
      </w:fldSimple>
      <w:r w:rsidR="006D2937" w:rsidRPr="00300667">
        <w:rPr>
          <w:rFonts w:ascii="Times New Roman" w:hAnsi="Times New Roman" w:cs="Times New Roman"/>
          <w:sz w:val="24"/>
          <w:szCs w:val="24"/>
        </w:rPr>
        <w:t xml:space="preserve">, </w:t>
      </w:r>
      <w:r w:rsidRPr="00300667">
        <w:rPr>
          <w:rFonts w:ascii="Times New Roman" w:hAnsi="Times New Roman" w:cs="Times New Roman"/>
          <w:sz w:val="24"/>
          <w:szCs w:val="24"/>
        </w:rPr>
        <w:t>fica facultado à Administração convocar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 xml:space="preserve">os licitantes remanescentes do </w:t>
      </w:r>
      <w:r w:rsidRPr="00300667">
        <w:rPr>
          <w:rFonts w:ascii="Times New Roman" w:hAnsi="Times New Roman" w:cs="Times New Roman"/>
          <w:sz w:val="24"/>
          <w:szCs w:val="24"/>
        </w:rPr>
        <w:lastRenderedPageBreak/>
        <w:t>cadastro de reserva, na ordem de classificação, para fazê-lo em igual prazo enas condições propostas pelo primeiro classificado.</w:t>
      </w:r>
      <w:bookmarkStart w:id="3" w:name="recusa_dos_que_baixaram_preco"/>
      <w:bookmarkEnd w:id="3"/>
    </w:p>
    <w:p w:rsidR="002A6165" w:rsidRPr="00300667" w:rsidRDefault="002A6165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Na hipótese de nenhum dos licitantes </w:t>
      </w:r>
      <w:r w:rsidR="00D4329D" w:rsidRPr="00300667">
        <w:rPr>
          <w:rFonts w:ascii="Times New Roman" w:hAnsi="Times New Roman" w:cs="Times New Roman"/>
          <w:sz w:val="24"/>
          <w:szCs w:val="24"/>
        </w:rPr>
        <w:t xml:space="preserve">que trata o item </w:t>
      </w:r>
      <w:r w:rsidR="00931989" w:rsidRPr="00300667">
        <w:rPr>
          <w:rFonts w:ascii="Times New Roman" w:hAnsi="Times New Roman" w:cs="Times New Roman"/>
          <w:sz w:val="24"/>
          <w:szCs w:val="24"/>
        </w:rPr>
        <w:t>5.4.2.1</w:t>
      </w:r>
      <w:r w:rsidR="00D6305E" w:rsidRPr="00300667">
        <w:rPr>
          <w:rFonts w:ascii="Times New Roman" w:hAnsi="Times New Roman" w:cs="Times New Roman"/>
          <w:sz w:val="24"/>
          <w:szCs w:val="24"/>
        </w:rPr>
        <w:t xml:space="preserve">, aceitar a contratação </w:t>
      </w:r>
      <w:r w:rsidRPr="00300667">
        <w:rPr>
          <w:rFonts w:ascii="Times New Roman" w:hAnsi="Times New Roman" w:cs="Times New Roman"/>
          <w:sz w:val="24"/>
          <w:szCs w:val="24"/>
        </w:rPr>
        <w:t xml:space="preserve">nos termos do </w:t>
      </w:r>
      <w:r w:rsidR="00BE6356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r w:rsidR="00C7618D" w:rsidRPr="00300667">
        <w:rPr>
          <w:rFonts w:ascii="Times New Roman" w:hAnsi="Times New Roman" w:cs="Times New Roman"/>
          <w:sz w:val="24"/>
          <w:szCs w:val="24"/>
        </w:rPr>
        <w:t>anterior</w:t>
      </w:r>
      <w:r w:rsidRPr="00300667">
        <w:rPr>
          <w:rFonts w:ascii="Times New Roman" w:hAnsi="Times New Roman" w:cs="Times New Roman"/>
          <w:sz w:val="24"/>
          <w:szCs w:val="24"/>
        </w:rPr>
        <w:t>, a Administração, observados o valor es</w:t>
      </w:r>
      <w:r w:rsidR="00BE6356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mado e sua eventual atualização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nos termos do edital</w:t>
      </w:r>
      <w:r w:rsidR="006D4E31" w:rsidRPr="00300667">
        <w:rPr>
          <w:rFonts w:ascii="Times New Roman" w:hAnsi="Times New Roman" w:cs="Times New Roman"/>
          <w:sz w:val="24"/>
          <w:szCs w:val="24"/>
        </w:rPr>
        <w:t xml:space="preserve"> ou do aviso de contratação direta</w:t>
      </w:r>
      <w:r w:rsidRPr="00300667">
        <w:rPr>
          <w:rFonts w:ascii="Times New Roman" w:hAnsi="Times New Roman" w:cs="Times New Roman"/>
          <w:sz w:val="24"/>
          <w:szCs w:val="24"/>
        </w:rPr>
        <w:t>, poderá:</w:t>
      </w:r>
    </w:p>
    <w:p w:rsidR="002A6165" w:rsidRPr="00300667" w:rsidRDefault="00C949D9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C</w:t>
      </w:r>
      <w:r w:rsidR="002A6165" w:rsidRPr="00300667">
        <w:rPr>
          <w:rFonts w:ascii="Times New Roman" w:hAnsi="Times New Roman" w:cs="Times New Roman"/>
          <w:sz w:val="24"/>
          <w:szCs w:val="24"/>
        </w:rPr>
        <w:t xml:space="preserve">onvocar </w:t>
      </w:r>
      <w:r w:rsidR="00E60459" w:rsidRPr="00300667">
        <w:rPr>
          <w:rFonts w:ascii="Times New Roman" w:hAnsi="Times New Roman" w:cs="Times New Roman"/>
          <w:sz w:val="24"/>
          <w:szCs w:val="24"/>
        </w:rPr>
        <w:t xml:space="preserve">para negociação </w:t>
      </w:r>
      <w:r w:rsidR="002A6165" w:rsidRPr="00300667">
        <w:rPr>
          <w:rFonts w:ascii="Times New Roman" w:hAnsi="Times New Roman" w:cs="Times New Roman"/>
          <w:sz w:val="24"/>
          <w:szCs w:val="24"/>
        </w:rPr>
        <w:t>os demais licitantes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C12E5F" w:rsidRPr="00300667">
        <w:rPr>
          <w:rFonts w:ascii="Times New Roman" w:hAnsi="Times New Roman" w:cs="Times New Roman"/>
          <w:sz w:val="24"/>
          <w:szCs w:val="24"/>
        </w:rPr>
        <w:t xml:space="preserve">ou fornecedores </w:t>
      </w:r>
      <w:r w:rsidR="002A6165" w:rsidRPr="00300667">
        <w:rPr>
          <w:rFonts w:ascii="Times New Roman" w:hAnsi="Times New Roman" w:cs="Times New Roman"/>
          <w:sz w:val="24"/>
          <w:szCs w:val="24"/>
        </w:rPr>
        <w:t xml:space="preserve">remanescentes </w:t>
      </w:r>
      <w:r w:rsidR="00703FD0" w:rsidRPr="00300667">
        <w:rPr>
          <w:rFonts w:ascii="Times New Roman" w:hAnsi="Times New Roman" w:cs="Times New Roman"/>
          <w:sz w:val="24"/>
          <w:szCs w:val="24"/>
        </w:rPr>
        <w:t>cujos preços foram registrados sem redução</w:t>
      </w:r>
      <w:r w:rsidR="002A6165" w:rsidRPr="00300667">
        <w:rPr>
          <w:rFonts w:ascii="Times New Roman" w:hAnsi="Times New Roman" w:cs="Times New Roman"/>
          <w:sz w:val="24"/>
          <w:szCs w:val="24"/>
        </w:rPr>
        <w:t xml:space="preserve">, </w:t>
      </w:r>
      <w:r w:rsidR="000B2C68" w:rsidRPr="00300667">
        <w:rPr>
          <w:rFonts w:ascii="Times New Roman" w:hAnsi="Times New Roman" w:cs="Times New Roman"/>
          <w:sz w:val="24"/>
          <w:szCs w:val="24"/>
        </w:rPr>
        <w:t xml:space="preserve">observada </w:t>
      </w:r>
      <w:r w:rsidR="002A6165" w:rsidRPr="00300667">
        <w:rPr>
          <w:rFonts w:ascii="Times New Roman" w:hAnsi="Times New Roman" w:cs="Times New Roman"/>
          <w:sz w:val="24"/>
          <w:szCs w:val="24"/>
        </w:rPr>
        <w:t>a ordem de classificação,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2A6165" w:rsidRPr="00300667">
        <w:rPr>
          <w:rFonts w:ascii="Times New Roman" w:hAnsi="Times New Roman" w:cs="Times New Roman"/>
          <w:sz w:val="24"/>
          <w:szCs w:val="24"/>
        </w:rPr>
        <w:t>com vistas à obtenção de preço melhor, mesmo que acima do preço do adjudicatário;</w:t>
      </w:r>
      <w:r w:rsidR="000B2C68" w:rsidRPr="00300667">
        <w:rPr>
          <w:rFonts w:ascii="Times New Roman" w:hAnsi="Times New Roman" w:cs="Times New Roman"/>
          <w:sz w:val="24"/>
          <w:szCs w:val="24"/>
        </w:rPr>
        <w:t xml:space="preserve"> ou</w:t>
      </w:r>
    </w:p>
    <w:p w:rsidR="002A6165" w:rsidRPr="00300667" w:rsidRDefault="00C949D9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A</w:t>
      </w:r>
      <w:r w:rsidR="002A6165" w:rsidRPr="00300667">
        <w:rPr>
          <w:rFonts w:ascii="Times New Roman" w:hAnsi="Times New Roman" w:cs="Times New Roman"/>
          <w:sz w:val="24"/>
          <w:szCs w:val="24"/>
        </w:rPr>
        <w:t xml:space="preserve">djudicar e </w:t>
      </w:r>
      <w:r w:rsidR="000B2C68" w:rsidRPr="00300667">
        <w:rPr>
          <w:rFonts w:ascii="Times New Roman" w:hAnsi="Times New Roman" w:cs="Times New Roman"/>
          <w:sz w:val="24"/>
          <w:szCs w:val="24"/>
        </w:rPr>
        <w:t>firmar</w:t>
      </w:r>
      <w:r w:rsidR="002A6165" w:rsidRPr="00300667">
        <w:rPr>
          <w:rFonts w:ascii="Times New Roman" w:hAnsi="Times New Roman" w:cs="Times New Roman"/>
          <w:sz w:val="24"/>
          <w:szCs w:val="24"/>
        </w:rPr>
        <w:t xml:space="preserve"> o contrato nas condições ofertadas pelos licitantes </w:t>
      </w:r>
      <w:r w:rsidR="000B2C68" w:rsidRPr="00300667">
        <w:rPr>
          <w:rFonts w:ascii="Times New Roman" w:hAnsi="Times New Roman" w:cs="Times New Roman"/>
          <w:sz w:val="24"/>
          <w:szCs w:val="24"/>
        </w:rPr>
        <w:t xml:space="preserve">ou fornecedores </w:t>
      </w:r>
      <w:r w:rsidR="002A6165" w:rsidRPr="00300667">
        <w:rPr>
          <w:rFonts w:ascii="Times New Roman" w:hAnsi="Times New Roman" w:cs="Times New Roman"/>
          <w:sz w:val="24"/>
          <w:szCs w:val="24"/>
        </w:rPr>
        <w:t>remanescentes,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2A6165" w:rsidRPr="00300667">
        <w:rPr>
          <w:rFonts w:ascii="Times New Roman" w:hAnsi="Times New Roman" w:cs="Times New Roman"/>
          <w:sz w:val="24"/>
          <w:szCs w:val="24"/>
        </w:rPr>
        <w:t>atendida a ordem classificatória, quando frustrada a negociação de melhor condição.</w:t>
      </w:r>
    </w:p>
    <w:p w:rsidR="00C8173B" w:rsidRPr="00C8173B" w:rsidRDefault="00C8173B" w:rsidP="00C8173B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300667">
        <w:rPr>
          <w:rFonts w:ascii="Times New Roman" w:hAnsi="Times New Roman" w:cs="Times New Roman"/>
          <w:sz w:val="24"/>
          <w:szCs w:val="24"/>
        </w:rPr>
        <w:t>existência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preços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Registrados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implicará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compro</w:t>
      </w:r>
      <w:r>
        <w:rPr>
          <w:rFonts w:ascii="Times New Roman" w:hAnsi="Times New Roman" w:cs="Times New Roman"/>
          <w:sz w:val="24"/>
          <w:szCs w:val="24"/>
        </w:rPr>
        <w:t xml:space="preserve">misso de fornecimento nas condições </w:t>
      </w:r>
      <w:r w:rsidRPr="00300667">
        <w:rPr>
          <w:rFonts w:ascii="Times New Roman" w:hAnsi="Times New Roman" w:cs="Times New Roman"/>
          <w:sz w:val="24"/>
          <w:szCs w:val="24"/>
        </w:rPr>
        <w:t>estabelecidas, mas não obrigará a Administração a contratar, facultada a realização de licitação específica para a aquisição pretendida, desde que devidamente justificada.</w:t>
      </w:r>
    </w:p>
    <w:p w:rsidR="00D52993" w:rsidRPr="00300667" w:rsidRDefault="00D52993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ALTERAÇÃO </w:t>
      </w:r>
      <w:r w:rsidR="009752D5" w:rsidRPr="00300667">
        <w:rPr>
          <w:rFonts w:ascii="Times New Roman" w:hAnsi="Times New Roman" w:cs="Times New Roman"/>
          <w:sz w:val="24"/>
          <w:szCs w:val="24"/>
        </w:rPr>
        <w:t xml:space="preserve">OU ATUALIZAÇÃO </w:t>
      </w:r>
      <w:r w:rsidRPr="00300667">
        <w:rPr>
          <w:rFonts w:ascii="Times New Roman" w:hAnsi="Times New Roman" w:cs="Times New Roman"/>
          <w:sz w:val="24"/>
          <w:szCs w:val="24"/>
        </w:rPr>
        <w:t>DOS PREÇOS REGISTRADOS</w:t>
      </w:r>
    </w:p>
    <w:p w:rsidR="00D52993" w:rsidRPr="00300667" w:rsidRDefault="00D52993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Os preços registrados poderão ser alterados </w:t>
      </w:r>
      <w:r w:rsidR="009752D5" w:rsidRPr="00300667">
        <w:rPr>
          <w:rFonts w:ascii="Times New Roman" w:hAnsi="Times New Roman" w:cs="Times New Roman"/>
          <w:sz w:val="24"/>
          <w:szCs w:val="24"/>
        </w:rPr>
        <w:t xml:space="preserve">ou atualizados </w:t>
      </w:r>
      <w:r w:rsidRPr="00300667">
        <w:rPr>
          <w:rFonts w:ascii="Times New Roman" w:hAnsi="Times New Roman" w:cs="Times New Roman"/>
          <w:sz w:val="24"/>
          <w:szCs w:val="24"/>
        </w:rPr>
        <w:t>em decorrência de eventual redução dos preços pra</w:t>
      </w:r>
      <w:r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 xml:space="preserve">cados no mercado ou de fato que eleve o custo dos bens, </w:t>
      </w:r>
      <w:r w:rsidR="00D96A54" w:rsidRPr="00300667">
        <w:rPr>
          <w:rFonts w:ascii="Times New Roman" w:hAnsi="Times New Roman" w:cs="Times New Roman"/>
          <w:sz w:val="24"/>
          <w:szCs w:val="24"/>
        </w:rPr>
        <w:t xml:space="preserve">das </w:t>
      </w:r>
      <w:r w:rsidRPr="00300667">
        <w:rPr>
          <w:rFonts w:ascii="Times New Roman" w:hAnsi="Times New Roman" w:cs="Times New Roman"/>
          <w:sz w:val="24"/>
          <w:szCs w:val="24"/>
        </w:rPr>
        <w:t xml:space="preserve">obras ou </w:t>
      </w:r>
      <w:r w:rsidR="00D96A54" w:rsidRPr="00300667">
        <w:rPr>
          <w:rFonts w:ascii="Times New Roman" w:hAnsi="Times New Roman" w:cs="Times New Roman"/>
          <w:sz w:val="24"/>
          <w:szCs w:val="24"/>
        </w:rPr>
        <w:t xml:space="preserve">dos </w:t>
      </w:r>
      <w:r w:rsidRPr="00300667">
        <w:rPr>
          <w:rFonts w:ascii="Times New Roman" w:hAnsi="Times New Roman" w:cs="Times New Roman"/>
          <w:sz w:val="24"/>
          <w:szCs w:val="24"/>
        </w:rPr>
        <w:t>serviços registrados, nas seguintes situações:</w:t>
      </w:r>
    </w:p>
    <w:p w:rsidR="00D52993" w:rsidRPr="00300667" w:rsidRDefault="00004ADD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E</w:t>
      </w:r>
      <w:r w:rsidR="00D52993" w:rsidRPr="00300667">
        <w:rPr>
          <w:rFonts w:ascii="Times New Roman" w:hAnsi="Times New Roman" w:cs="Times New Roman"/>
          <w:sz w:val="24"/>
          <w:szCs w:val="24"/>
        </w:rPr>
        <w:t>m caso de força maior, caso fortuito ou fato do príncipe ou em decorrência de fatos imprevisíveis ou previsíveis de consequências incalculáveis, que inviabilizem a execução da ata tal como pactuad</w:t>
      </w:r>
      <w:r w:rsidR="00982132" w:rsidRPr="00300667">
        <w:rPr>
          <w:rFonts w:ascii="Times New Roman" w:hAnsi="Times New Roman" w:cs="Times New Roman"/>
          <w:sz w:val="24"/>
          <w:szCs w:val="24"/>
        </w:rPr>
        <w:t>a</w:t>
      </w:r>
      <w:r w:rsidR="00D52993" w:rsidRPr="00300667">
        <w:rPr>
          <w:rFonts w:ascii="Times New Roman" w:hAnsi="Times New Roman" w:cs="Times New Roman"/>
          <w:sz w:val="24"/>
          <w:szCs w:val="24"/>
        </w:rPr>
        <w:t>, nos termos da alínea “d” do inciso II do caput do art. 124 da Lei nº 14.133, de 2021</w:t>
      </w:r>
      <w:r w:rsidR="007C6563" w:rsidRPr="00300667">
        <w:rPr>
          <w:rFonts w:ascii="Times New Roman" w:hAnsi="Times New Roman" w:cs="Times New Roman"/>
          <w:sz w:val="24"/>
          <w:szCs w:val="24"/>
        </w:rPr>
        <w:t>;</w:t>
      </w:r>
    </w:p>
    <w:p w:rsidR="00C36C9F" w:rsidRPr="00300667" w:rsidRDefault="00C36C9F" w:rsidP="00750EA5">
      <w:pPr>
        <w:pStyle w:val="Nvel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rPr>
          <w:rFonts w:ascii="Times New Roman" w:hAnsi="Times New Roman" w:cs="Times New Roman"/>
          <w:color w:val="0000EF"/>
          <w:sz w:val="24"/>
          <w:szCs w:val="24"/>
        </w:rPr>
      </w:pPr>
      <w:r w:rsidRPr="00300667">
        <w:rPr>
          <w:rFonts w:ascii="Times New Roman" w:hAnsi="Times New Roman" w:cs="Times New Roman"/>
          <w:b/>
          <w:sz w:val="24"/>
          <w:szCs w:val="24"/>
        </w:rPr>
        <w:t xml:space="preserve">Nota Explicativa: </w:t>
      </w:r>
      <w:r w:rsidRPr="00300667">
        <w:rPr>
          <w:rFonts w:ascii="Times New Roman" w:hAnsi="Times New Roman" w:cs="Times New Roman"/>
          <w:sz w:val="24"/>
          <w:szCs w:val="24"/>
        </w:rPr>
        <w:t>Restringindo-se o reequilíbrio a alguns itens fornecidos em circunstâncias específicas, a ata poderá prever preços distintos na forma do artigo 82, III, da Lei nº 14.133, de 2021.</w:t>
      </w:r>
    </w:p>
    <w:p w:rsidR="00D52993" w:rsidRPr="00300667" w:rsidRDefault="00C507A4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E</w:t>
      </w:r>
      <w:r w:rsidR="00982132" w:rsidRPr="00300667">
        <w:rPr>
          <w:rFonts w:ascii="Times New Roman" w:hAnsi="Times New Roman" w:cs="Times New Roman"/>
          <w:sz w:val="24"/>
          <w:szCs w:val="24"/>
        </w:rPr>
        <w:t>m caso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de criação, alteração ou ex</w:t>
      </w:r>
      <w:r w:rsidR="00D52993"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300667">
        <w:rPr>
          <w:rFonts w:ascii="Times New Roman" w:hAnsi="Times New Roman" w:cs="Times New Roman"/>
          <w:sz w:val="24"/>
          <w:szCs w:val="24"/>
        </w:rPr>
        <w:t>nção de quaisquer tributos ou encargos legais ou a superveniência de disposições legais, com comprovada repercussão sobre os preços registrados</w:t>
      </w:r>
      <w:r w:rsidR="00982132" w:rsidRPr="0030066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72386" w:rsidRPr="00300667" w:rsidRDefault="007A496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Na hipótese de previsão</w:t>
      </w:r>
      <w:r w:rsidR="004E29D0" w:rsidRPr="00300667">
        <w:rPr>
          <w:rFonts w:ascii="Times New Roman" w:hAnsi="Times New Roman" w:cs="Times New Roman"/>
          <w:sz w:val="24"/>
          <w:szCs w:val="24"/>
        </w:rPr>
        <w:t xml:space="preserve"> no edital ou no aviso de contratação direta de cláusula de reajustamento ou repactuação sobre os preços registrad</w:t>
      </w:r>
      <w:r w:rsidR="00972386" w:rsidRPr="00300667">
        <w:rPr>
          <w:rFonts w:ascii="Times New Roman" w:hAnsi="Times New Roman" w:cs="Times New Roman"/>
          <w:sz w:val="24"/>
          <w:szCs w:val="24"/>
        </w:rPr>
        <w:t>os, nos termos da Lei nº 14.133, de 2021.</w:t>
      </w:r>
    </w:p>
    <w:p w:rsidR="004A391F" w:rsidRPr="00300667" w:rsidRDefault="00972386" w:rsidP="00717BD3">
      <w:pPr>
        <w:pStyle w:val="Nvel4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No caso </w:t>
      </w:r>
      <w:r w:rsidR="00D17BE6" w:rsidRPr="00300667">
        <w:rPr>
          <w:rFonts w:ascii="Times New Roman" w:hAnsi="Times New Roman" w:cs="Times New Roman"/>
          <w:sz w:val="24"/>
          <w:szCs w:val="24"/>
        </w:rPr>
        <w:t>do reajustamento</w:t>
      </w:r>
      <w:r w:rsidR="007C6563" w:rsidRPr="00300667">
        <w:rPr>
          <w:rFonts w:ascii="Times New Roman" w:hAnsi="Times New Roman" w:cs="Times New Roman"/>
          <w:sz w:val="24"/>
          <w:szCs w:val="24"/>
        </w:rPr>
        <w:t>,</w:t>
      </w:r>
      <w:r w:rsidR="00F16593" w:rsidRPr="00300667">
        <w:rPr>
          <w:rFonts w:ascii="Times New Roman" w:hAnsi="Times New Roman" w:cs="Times New Roman"/>
          <w:sz w:val="24"/>
          <w:szCs w:val="24"/>
        </w:rPr>
        <w:t xml:space="preserve"> deverá ser</w:t>
      </w:r>
      <w:r w:rsidR="007C6563" w:rsidRPr="00300667">
        <w:rPr>
          <w:rFonts w:ascii="Times New Roman" w:hAnsi="Times New Roman" w:cs="Times New Roman"/>
          <w:sz w:val="24"/>
          <w:szCs w:val="24"/>
        </w:rPr>
        <w:t xml:space="preserve"> respeitada a contagem da anualidade e o índice </w:t>
      </w:r>
      <w:r w:rsidR="00346A9C" w:rsidRPr="00300667">
        <w:rPr>
          <w:rFonts w:ascii="Times New Roman" w:hAnsi="Times New Roman" w:cs="Times New Roman"/>
          <w:sz w:val="24"/>
          <w:szCs w:val="24"/>
        </w:rPr>
        <w:t>previstos para a contratação</w:t>
      </w:r>
      <w:r w:rsidR="00C56F65" w:rsidRPr="00300667">
        <w:rPr>
          <w:rFonts w:ascii="Times New Roman" w:hAnsi="Times New Roman" w:cs="Times New Roman"/>
          <w:sz w:val="24"/>
          <w:szCs w:val="24"/>
        </w:rPr>
        <w:t>;</w:t>
      </w:r>
    </w:p>
    <w:p w:rsidR="00784168" w:rsidRPr="00300667" w:rsidRDefault="004A391F" w:rsidP="00717BD3">
      <w:pPr>
        <w:pStyle w:val="Nvel4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No caso da repactuação,</w:t>
      </w:r>
      <w:r w:rsidR="002E2355" w:rsidRPr="00300667">
        <w:rPr>
          <w:rFonts w:ascii="Times New Roman" w:hAnsi="Times New Roman" w:cs="Times New Roman"/>
          <w:sz w:val="24"/>
          <w:szCs w:val="24"/>
        </w:rPr>
        <w:t xml:space="preserve">poderá ser </w:t>
      </w:r>
      <w:r w:rsidR="003D0F2F" w:rsidRPr="00300667">
        <w:rPr>
          <w:rFonts w:ascii="Times New Roman" w:hAnsi="Times New Roman" w:cs="Times New Roman"/>
          <w:sz w:val="24"/>
          <w:szCs w:val="24"/>
        </w:rPr>
        <w:t xml:space="preserve">a pedido do interessado, conforme critérios </w:t>
      </w:r>
      <w:r w:rsidR="00346A9C" w:rsidRPr="00300667">
        <w:rPr>
          <w:rFonts w:ascii="Times New Roman" w:hAnsi="Times New Roman" w:cs="Times New Roman"/>
          <w:sz w:val="24"/>
          <w:szCs w:val="24"/>
        </w:rPr>
        <w:t>definidos para a contratação</w:t>
      </w:r>
      <w:r w:rsidR="003D0F2F" w:rsidRPr="00300667">
        <w:rPr>
          <w:rFonts w:ascii="Times New Roman" w:hAnsi="Times New Roman" w:cs="Times New Roman"/>
          <w:sz w:val="24"/>
          <w:szCs w:val="24"/>
        </w:rPr>
        <w:t>.</w:t>
      </w:r>
    </w:p>
    <w:p w:rsidR="00D52993" w:rsidRPr="00300667" w:rsidRDefault="00D52993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lastRenderedPageBreak/>
        <w:t>NEGOCIAÇÃO DE PREÇOS REGISTRADOS</w:t>
      </w:r>
    </w:p>
    <w:p w:rsidR="00D52993" w:rsidRPr="00300667" w:rsidRDefault="00D52599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Na hipótese de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o preço registrado tornar</w:t>
      </w:r>
      <w:r w:rsidR="00982132" w:rsidRPr="00300667">
        <w:rPr>
          <w:rFonts w:ascii="Times New Roman" w:hAnsi="Times New Roman" w:cs="Times New Roman"/>
          <w:sz w:val="24"/>
          <w:szCs w:val="24"/>
        </w:rPr>
        <w:t>-se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superior ao preço pra</w:t>
      </w:r>
      <w:r w:rsidR="00D52993"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300667">
        <w:rPr>
          <w:rFonts w:ascii="Times New Roman" w:hAnsi="Times New Roman" w:cs="Times New Roman"/>
          <w:sz w:val="24"/>
          <w:szCs w:val="24"/>
        </w:rPr>
        <w:t>cado no mercado por mo</w:t>
      </w:r>
      <w:r w:rsidR="00D52993"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300667">
        <w:rPr>
          <w:rFonts w:ascii="Times New Roman" w:hAnsi="Times New Roman" w:cs="Times New Roman"/>
          <w:sz w:val="24"/>
          <w:szCs w:val="24"/>
        </w:rPr>
        <w:t>vo superveniente, o órgão ou en</w:t>
      </w:r>
      <w:r w:rsidR="00D52993"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300667">
        <w:rPr>
          <w:rFonts w:ascii="Times New Roman" w:hAnsi="Times New Roman" w:cs="Times New Roman"/>
          <w:sz w:val="24"/>
          <w:szCs w:val="24"/>
        </w:rPr>
        <w:t>dade gerenciadora convocará o fornecedor para negociar a redução do preço registrado.</w:t>
      </w:r>
    </w:p>
    <w:p w:rsidR="00D52993" w:rsidRPr="00300667" w:rsidRDefault="00D52993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Caso não aceite reduzir seu preço aos valores pra</w:t>
      </w:r>
      <w:r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 xml:space="preserve">cados pelo mercado, </w:t>
      </w:r>
      <w:r w:rsidR="002B66DE" w:rsidRPr="00300667">
        <w:rPr>
          <w:rFonts w:ascii="Times New Roman" w:hAnsi="Times New Roman" w:cs="Times New Roman"/>
          <w:sz w:val="24"/>
          <w:szCs w:val="24"/>
        </w:rPr>
        <w:t xml:space="preserve">o fornecedor </w:t>
      </w:r>
      <w:r w:rsidRPr="00300667">
        <w:rPr>
          <w:rFonts w:ascii="Times New Roman" w:hAnsi="Times New Roman" w:cs="Times New Roman"/>
          <w:sz w:val="24"/>
          <w:szCs w:val="24"/>
        </w:rPr>
        <w:t xml:space="preserve">será liberado do compromisso assumido </w:t>
      </w:r>
      <w:r w:rsidR="002B66DE" w:rsidRPr="00300667">
        <w:rPr>
          <w:rFonts w:ascii="Times New Roman" w:hAnsi="Times New Roman" w:cs="Times New Roman"/>
          <w:sz w:val="24"/>
          <w:szCs w:val="24"/>
        </w:rPr>
        <w:t>quanto</w:t>
      </w:r>
      <w:r w:rsidRPr="00300667">
        <w:rPr>
          <w:rFonts w:ascii="Times New Roman" w:hAnsi="Times New Roman" w:cs="Times New Roman"/>
          <w:sz w:val="24"/>
          <w:szCs w:val="24"/>
        </w:rPr>
        <w:t xml:space="preserve"> ao item registrado, sem aplicação de penalidades administrativas.</w:t>
      </w:r>
    </w:p>
    <w:p w:rsidR="00B510C6" w:rsidRPr="00300667" w:rsidRDefault="0066751B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Na hipótese </w:t>
      </w:r>
      <w:r w:rsidR="002B4BC4" w:rsidRPr="00300667">
        <w:rPr>
          <w:rFonts w:ascii="Times New Roman" w:hAnsi="Times New Roman" w:cs="Times New Roman"/>
          <w:sz w:val="24"/>
          <w:szCs w:val="24"/>
        </w:rPr>
        <w:t xml:space="preserve">prevista no </w:t>
      </w:r>
      <w:r w:rsidR="00B510C6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r w:rsidRPr="00300667">
        <w:rPr>
          <w:rFonts w:ascii="Times New Roman" w:hAnsi="Times New Roman" w:cs="Times New Roman"/>
          <w:sz w:val="24"/>
          <w:szCs w:val="24"/>
        </w:rPr>
        <w:t>anterior</w:t>
      </w:r>
      <w:r w:rsidR="00D52993" w:rsidRPr="00300667">
        <w:rPr>
          <w:rFonts w:ascii="Times New Roman" w:hAnsi="Times New Roman" w:cs="Times New Roman"/>
          <w:sz w:val="24"/>
          <w:szCs w:val="24"/>
        </w:rPr>
        <w:t>, o gerenciador convocar</w:t>
      </w:r>
      <w:r w:rsidR="002B4BC4" w:rsidRPr="00300667">
        <w:rPr>
          <w:rFonts w:ascii="Times New Roman" w:hAnsi="Times New Roman" w:cs="Times New Roman"/>
          <w:sz w:val="24"/>
          <w:szCs w:val="24"/>
        </w:rPr>
        <w:t>á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os fornecedores do cadastro de reserva, na ordem de classificação, para verificar se aceitam reduzir seus preços aos valores de mercado</w:t>
      </w:r>
      <w:r w:rsidR="000A5F80" w:rsidRPr="00300667">
        <w:rPr>
          <w:rFonts w:ascii="Times New Roman" w:hAnsi="Times New Roman" w:cs="Times New Roman"/>
          <w:sz w:val="24"/>
          <w:szCs w:val="24"/>
        </w:rPr>
        <w:t xml:space="preserve"> e não convocará o</w:t>
      </w:r>
      <w:r w:rsidR="00D90740" w:rsidRPr="00300667">
        <w:rPr>
          <w:rFonts w:ascii="Times New Roman" w:hAnsi="Times New Roman" w:cs="Times New Roman"/>
          <w:sz w:val="24"/>
          <w:szCs w:val="24"/>
        </w:rPr>
        <w:t>s licitantes ou fornecedores que tiveram seu registro cancelado.</w:t>
      </w:r>
    </w:p>
    <w:p w:rsidR="00B510C6" w:rsidRPr="00300667" w:rsidRDefault="00C017AF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Se n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ão </w:t>
      </w:r>
      <w:r w:rsidRPr="00300667">
        <w:rPr>
          <w:rFonts w:ascii="Times New Roman" w:hAnsi="Times New Roman" w:cs="Times New Roman"/>
          <w:sz w:val="24"/>
          <w:szCs w:val="24"/>
        </w:rPr>
        <w:t>obtiver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êxito nas negociações, o órgão ou en</w:t>
      </w:r>
      <w:r w:rsidR="00D52993" w:rsidRPr="00300667">
        <w:rPr>
          <w:rFonts w:ascii="Times New Roman" w:eastAsia="Calibri" w:hAnsi="Times New Roman" w:cs="Times New Roman"/>
          <w:sz w:val="24"/>
          <w:szCs w:val="24"/>
        </w:rPr>
        <w:t>tid</w:t>
      </w:r>
      <w:r w:rsidR="00D52993" w:rsidRPr="00300667">
        <w:rPr>
          <w:rFonts w:ascii="Times New Roman" w:hAnsi="Times New Roman" w:cs="Times New Roman"/>
          <w:sz w:val="24"/>
          <w:szCs w:val="24"/>
        </w:rPr>
        <w:t>ade gerenciadora proceder</w:t>
      </w:r>
      <w:r w:rsidRPr="00300667">
        <w:rPr>
          <w:rFonts w:ascii="Times New Roman" w:hAnsi="Times New Roman" w:cs="Times New Roman"/>
          <w:sz w:val="24"/>
          <w:szCs w:val="24"/>
        </w:rPr>
        <w:t>á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ao cancelamento 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="00D52993" w:rsidRPr="00300667">
        <w:rPr>
          <w:rFonts w:ascii="Times New Roman" w:hAnsi="Times New Roman" w:cs="Times New Roman"/>
          <w:sz w:val="24"/>
          <w:szCs w:val="24"/>
        </w:rPr>
        <w:t>reços, adotando as medidas cabíveis para obtenção d</w:t>
      </w:r>
      <w:r w:rsidR="007C2805" w:rsidRPr="00300667">
        <w:rPr>
          <w:rFonts w:ascii="Times New Roman" w:hAnsi="Times New Roman" w:cs="Times New Roman"/>
          <w:sz w:val="24"/>
          <w:szCs w:val="24"/>
        </w:rPr>
        <w:t>e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contratação mais vantajosa.</w:t>
      </w:r>
      <w:bookmarkStart w:id="4" w:name="reducao_preco_mercado_negociacao_frustra"/>
      <w:bookmarkEnd w:id="4"/>
    </w:p>
    <w:p w:rsidR="00894D94" w:rsidRPr="00300667" w:rsidRDefault="00EB3B67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Na hipótese de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redução do preço registrado, o gerenciador comunicar</w:t>
      </w:r>
      <w:r w:rsidR="005C3C43" w:rsidRPr="00300667">
        <w:rPr>
          <w:rFonts w:ascii="Times New Roman" w:hAnsi="Times New Roman" w:cs="Times New Roman"/>
          <w:sz w:val="24"/>
          <w:szCs w:val="24"/>
        </w:rPr>
        <w:t>á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aos órgãos e</w:t>
      </w:r>
      <w:r w:rsidR="005C3C43" w:rsidRPr="00300667">
        <w:rPr>
          <w:rFonts w:ascii="Times New Roman" w:hAnsi="Times New Roman" w:cs="Times New Roman"/>
          <w:sz w:val="24"/>
          <w:szCs w:val="24"/>
        </w:rPr>
        <w:t>à</w:t>
      </w:r>
      <w:r w:rsidR="00D52993" w:rsidRPr="00300667">
        <w:rPr>
          <w:rFonts w:ascii="Times New Roman" w:hAnsi="Times New Roman" w:cs="Times New Roman"/>
          <w:sz w:val="24"/>
          <w:szCs w:val="24"/>
        </w:rPr>
        <w:t>s en</w:t>
      </w:r>
      <w:r w:rsidR="00B510C6"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dades que </w:t>
      </w:r>
      <w:r w:rsidR="00B510C6"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verem </w:t>
      </w:r>
      <w:r w:rsidR="005C3C43" w:rsidRPr="00300667">
        <w:rPr>
          <w:rFonts w:ascii="Times New Roman" w:hAnsi="Times New Roman" w:cs="Times New Roman"/>
          <w:sz w:val="24"/>
          <w:szCs w:val="24"/>
        </w:rPr>
        <w:t xml:space="preserve">firmado </w:t>
      </w:r>
      <w:r w:rsidR="00D52993" w:rsidRPr="00300667">
        <w:rPr>
          <w:rFonts w:ascii="Times New Roman" w:hAnsi="Times New Roman" w:cs="Times New Roman"/>
          <w:sz w:val="24"/>
          <w:szCs w:val="24"/>
        </w:rPr>
        <w:t>contratos</w:t>
      </w:r>
      <w:r w:rsidR="005C3C43" w:rsidRPr="00300667">
        <w:rPr>
          <w:rFonts w:ascii="Times New Roman" w:hAnsi="Times New Roman" w:cs="Times New Roman"/>
          <w:sz w:val="24"/>
          <w:szCs w:val="24"/>
        </w:rPr>
        <w:t xml:space="preserve"> decorrentes 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="005C3C43"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="005C3C43"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="005C3C43" w:rsidRPr="00300667">
        <w:rPr>
          <w:rFonts w:ascii="Times New Roman" w:hAnsi="Times New Roman" w:cs="Times New Roman"/>
          <w:sz w:val="24"/>
          <w:szCs w:val="24"/>
        </w:rPr>
        <w:t>reços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para que avaliem a conveniência e a oportunidade de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diligenciarem negociação com vistas à alteração contratual, observado </w:t>
      </w:r>
      <w:r w:rsidR="00B510C6" w:rsidRPr="00300667">
        <w:rPr>
          <w:rFonts w:ascii="Times New Roman" w:hAnsi="Times New Roman" w:cs="Times New Roman"/>
          <w:sz w:val="24"/>
          <w:szCs w:val="24"/>
        </w:rPr>
        <w:t>o disposto no art. 124 da Lei nº 14.133, de 2021</w:t>
      </w:r>
      <w:r w:rsidR="00D52993" w:rsidRPr="00300667">
        <w:rPr>
          <w:rFonts w:ascii="Times New Roman" w:hAnsi="Times New Roman" w:cs="Times New Roman"/>
          <w:sz w:val="24"/>
          <w:szCs w:val="24"/>
        </w:rPr>
        <w:t>.</w:t>
      </w:r>
    </w:p>
    <w:p w:rsidR="00D52993" w:rsidRPr="00300667" w:rsidRDefault="005803CB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Na hipótese </w:t>
      </w:r>
      <w:r w:rsidR="00D52993" w:rsidRPr="00300667">
        <w:rPr>
          <w:rFonts w:ascii="Times New Roman" w:hAnsi="Times New Roman" w:cs="Times New Roman"/>
          <w:sz w:val="24"/>
          <w:szCs w:val="24"/>
        </w:rPr>
        <w:t>de o preço de mercado tornar</w:t>
      </w:r>
      <w:r w:rsidRPr="00300667">
        <w:rPr>
          <w:rFonts w:ascii="Times New Roman" w:hAnsi="Times New Roman" w:cs="Times New Roman"/>
          <w:sz w:val="24"/>
          <w:szCs w:val="24"/>
        </w:rPr>
        <w:t>-se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superior ao preço registrado e ofornecedor não p</w:t>
      </w:r>
      <w:r w:rsidR="00F949DC" w:rsidRPr="00300667">
        <w:rPr>
          <w:rFonts w:ascii="Times New Roman" w:hAnsi="Times New Roman" w:cs="Times New Roman"/>
          <w:sz w:val="24"/>
          <w:szCs w:val="24"/>
        </w:rPr>
        <w:t>o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der cumprir as obrigações </w:t>
      </w:r>
      <w:r w:rsidR="00145619" w:rsidRPr="00300667">
        <w:rPr>
          <w:rFonts w:ascii="Times New Roman" w:hAnsi="Times New Roman" w:cs="Times New Roman"/>
          <w:sz w:val="24"/>
          <w:szCs w:val="24"/>
        </w:rPr>
        <w:t xml:space="preserve">estabelecidas </w:t>
      </w:r>
      <w:r w:rsidR="00D52993" w:rsidRPr="00300667">
        <w:rPr>
          <w:rFonts w:ascii="Times New Roman" w:hAnsi="Times New Roman" w:cs="Times New Roman"/>
          <w:sz w:val="24"/>
          <w:szCs w:val="24"/>
        </w:rPr>
        <w:t>na ata, será facultado ao fornecedor requerer aogerenciador a alteração do preço registrado, mediante comprovação de fato superveniente quesupostamente o impossibilite de cumprir o compromisso.</w:t>
      </w:r>
      <w:bookmarkStart w:id="5" w:name="hipotese_preco_mercado_maior"/>
      <w:bookmarkEnd w:id="5"/>
    </w:p>
    <w:p w:rsidR="00894D94" w:rsidRPr="00300667" w:rsidRDefault="00894D94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Neste caso</w:t>
      </w:r>
      <w:r w:rsidR="00D52993" w:rsidRPr="00300667">
        <w:rPr>
          <w:rFonts w:ascii="Times New Roman" w:hAnsi="Times New Roman" w:cs="Times New Roman"/>
          <w:sz w:val="24"/>
          <w:szCs w:val="24"/>
        </w:rPr>
        <w:t>, o fornecedor encaminhar</w:t>
      </w:r>
      <w:r w:rsidR="00145619" w:rsidRPr="00300667">
        <w:rPr>
          <w:rFonts w:ascii="Times New Roman" w:hAnsi="Times New Roman" w:cs="Times New Roman"/>
          <w:sz w:val="24"/>
          <w:szCs w:val="24"/>
        </w:rPr>
        <w:t>á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, juntamente com opedido de alteração, </w:t>
      </w:r>
      <w:r w:rsidR="00E23556" w:rsidRPr="00300667">
        <w:rPr>
          <w:rFonts w:ascii="Times New Roman" w:hAnsi="Times New Roman" w:cs="Times New Roman"/>
          <w:sz w:val="24"/>
          <w:szCs w:val="24"/>
        </w:rPr>
        <w:t xml:space="preserve">a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documentação comprobatória ou </w:t>
      </w:r>
      <w:r w:rsidR="00E23556" w:rsidRPr="00300667">
        <w:rPr>
          <w:rFonts w:ascii="Times New Roman" w:hAnsi="Times New Roman" w:cs="Times New Roman"/>
          <w:sz w:val="24"/>
          <w:szCs w:val="24"/>
        </w:rPr>
        <w:t xml:space="preserve">a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planilha de custos que demonstre </w:t>
      </w:r>
      <w:r w:rsidR="00E23556" w:rsidRPr="00300667">
        <w:rPr>
          <w:rFonts w:ascii="Times New Roman" w:hAnsi="Times New Roman" w:cs="Times New Roman"/>
          <w:sz w:val="24"/>
          <w:szCs w:val="24"/>
        </w:rPr>
        <w:t>a inviabilidade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E23556" w:rsidRPr="00300667">
        <w:rPr>
          <w:rFonts w:ascii="Times New Roman" w:hAnsi="Times New Roman" w:cs="Times New Roman"/>
          <w:sz w:val="24"/>
          <w:szCs w:val="24"/>
        </w:rPr>
        <w:t>d</w:t>
      </w:r>
      <w:r w:rsidR="00D52993" w:rsidRPr="00300667">
        <w:rPr>
          <w:rFonts w:ascii="Times New Roman" w:hAnsi="Times New Roman" w:cs="Times New Roman"/>
          <w:sz w:val="24"/>
          <w:szCs w:val="24"/>
        </w:rPr>
        <w:t>o preço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registrado </w:t>
      </w:r>
      <w:r w:rsidR="00E23556" w:rsidRPr="00300667">
        <w:rPr>
          <w:rFonts w:ascii="Times New Roman" w:hAnsi="Times New Roman" w:cs="Times New Roman"/>
          <w:sz w:val="24"/>
          <w:szCs w:val="24"/>
        </w:rPr>
        <w:t xml:space="preserve">em relação </w:t>
      </w:r>
      <w:r w:rsidR="00D52993" w:rsidRPr="00300667">
        <w:rPr>
          <w:rFonts w:ascii="Times New Roman" w:hAnsi="Times New Roman" w:cs="Times New Roman"/>
          <w:sz w:val="24"/>
          <w:szCs w:val="24"/>
        </w:rPr>
        <w:t>às condições inicialmente pactuadas.</w:t>
      </w:r>
      <w:bookmarkStart w:id="6" w:name="prova_preco_mercado_maior"/>
      <w:bookmarkEnd w:id="6"/>
    </w:p>
    <w:p w:rsidR="00894D94" w:rsidRPr="00300667" w:rsidRDefault="00F307E4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Na</w:t>
      </w:r>
      <w:r w:rsidR="008D257D" w:rsidRPr="00300667">
        <w:rPr>
          <w:rFonts w:ascii="Times New Roman" w:hAnsi="Times New Roman" w:cs="Times New Roman"/>
          <w:sz w:val="24"/>
          <w:szCs w:val="24"/>
        </w:rPr>
        <w:t xml:space="preserve"> hipótese </w:t>
      </w:r>
      <w:r w:rsidR="000B2EED" w:rsidRPr="00300667">
        <w:rPr>
          <w:rFonts w:ascii="Times New Roman" w:hAnsi="Times New Roman" w:cs="Times New Roman"/>
          <w:sz w:val="24"/>
          <w:szCs w:val="24"/>
        </w:rPr>
        <w:t>de não comprovação d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a existência de fato superveniente que </w:t>
      </w:r>
      <w:r w:rsidR="000B2EED" w:rsidRPr="00300667">
        <w:rPr>
          <w:rFonts w:ascii="Times New Roman" w:hAnsi="Times New Roman" w:cs="Times New Roman"/>
          <w:sz w:val="24"/>
          <w:szCs w:val="24"/>
        </w:rPr>
        <w:t>inviabilize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opreço registrado, o pedido será indeferido pelo órgão ou en</w:t>
      </w:r>
      <w:r w:rsidR="00894D94"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D52993" w:rsidRPr="00300667">
        <w:rPr>
          <w:rFonts w:ascii="Times New Roman" w:hAnsi="Times New Roman" w:cs="Times New Roman"/>
          <w:sz w:val="24"/>
          <w:szCs w:val="24"/>
        </w:rPr>
        <w:t>dade gerenciadora</w:t>
      </w:r>
      <w:r w:rsidR="000B2EED" w:rsidRPr="00300667">
        <w:rPr>
          <w:rFonts w:ascii="Times New Roman" w:hAnsi="Times New Roman" w:cs="Times New Roman"/>
          <w:sz w:val="24"/>
          <w:szCs w:val="24"/>
        </w:rPr>
        <w:t xml:space="preserve"> e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o fornecedor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0B2EED" w:rsidRPr="00300667">
        <w:rPr>
          <w:rFonts w:ascii="Times New Roman" w:hAnsi="Times New Roman" w:cs="Times New Roman"/>
          <w:sz w:val="24"/>
          <w:szCs w:val="24"/>
        </w:rPr>
        <w:t>deverá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cumprir as obrigações </w:t>
      </w:r>
      <w:r w:rsidR="000B2EED" w:rsidRPr="00300667">
        <w:rPr>
          <w:rFonts w:ascii="Times New Roman" w:hAnsi="Times New Roman" w:cs="Times New Roman"/>
          <w:sz w:val="24"/>
          <w:szCs w:val="24"/>
        </w:rPr>
        <w:t xml:space="preserve">estabelecidas </w:t>
      </w:r>
      <w:r w:rsidR="00D52993" w:rsidRPr="00300667">
        <w:rPr>
          <w:rFonts w:ascii="Times New Roman" w:hAnsi="Times New Roman" w:cs="Times New Roman"/>
          <w:sz w:val="24"/>
          <w:szCs w:val="24"/>
        </w:rPr>
        <w:t>na ata, sob pena de cancelamento do seu registro, nos termos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do 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fldSimple w:instr=" REF cancelamento_do_fornecedor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9.1</w:t>
        </w:r>
      </w:fldSimple>
      <w:r w:rsidR="00D52993" w:rsidRPr="00300667">
        <w:rPr>
          <w:rFonts w:ascii="Times New Roman" w:hAnsi="Times New Roman" w:cs="Times New Roman"/>
          <w:sz w:val="24"/>
          <w:szCs w:val="24"/>
        </w:rPr>
        <w:t>, sem prejuízo das sanções previstas na Lei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nº 14.133, de 2021, e </w:t>
      </w:r>
      <w:r w:rsidR="00A55054" w:rsidRPr="00300667">
        <w:rPr>
          <w:rFonts w:ascii="Times New Roman" w:hAnsi="Times New Roman" w:cs="Times New Roman"/>
          <w:sz w:val="24"/>
          <w:szCs w:val="24"/>
        </w:rPr>
        <w:t>na legislação aplicável</w:t>
      </w:r>
      <w:r w:rsidR="00D52993" w:rsidRPr="00300667">
        <w:rPr>
          <w:rFonts w:ascii="Times New Roman" w:hAnsi="Times New Roman" w:cs="Times New Roman"/>
          <w:sz w:val="24"/>
          <w:szCs w:val="24"/>
        </w:rPr>
        <w:t>.</w:t>
      </w:r>
      <w:bookmarkStart w:id="7" w:name="nao_comprovacao_majoracao_mercado"/>
      <w:bookmarkEnd w:id="7"/>
    </w:p>
    <w:p w:rsidR="00894D94" w:rsidRPr="00300667" w:rsidRDefault="00A55054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Na hipótese de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cancelamento do registro do fornecedor, nos termos do </w:t>
      </w:r>
      <w:r w:rsidR="00894D94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r w:rsidR="0098354B" w:rsidRPr="00300667">
        <w:rPr>
          <w:rFonts w:ascii="Times New Roman" w:hAnsi="Times New Roman" w:cs="Times New Roman"/>
          <w:sz w:val="24"/>
          <w:szCs w:val="24"/>
        </w:rPr>
        <w:t>anterior</w:t>
      </w:r>
      <w:r w:rsidR="00D52993" w:rsidRPr="00300667">
        <w:rPr>
          <w:rFonts w:ascii="Times New Roman" w:hAnsi="Times New Roman" w:cs="Times New Roman"/>
          <w:sz w:val="24"/>
          <w:szCs w:val="24"/>
        </w:rPr>
        <w:t>, o gerenciador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300667">
        <w:rPr>
          <w:rFonts w:ascii="Times New Roman" w:hAnsi="Times New Roman" w:cs="Times New Roman"/>
          <w:sz w:val="24"/>
          <w:szCs w:val="24"/>
        </w:rPr>
        <w:t>convocar</w:t>
      </w:r>
      <w:r w:rsidR="0098354B" w:rsidRPr="00300667">
        <w:rPr>
          <w:rFonts w:ascii="Times New Roman" w:hAnsi="Times New Roman" w:cs="Times New Roman"/>
          <w:sz w:val="24"/>
          <w:szCs w:val="24"/>
        </w:rPr>
        <w:t>á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os fornecedores do cadastro de reserva, na ordem de classificação, para verificar se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aceitam manter seus preços registrados, observado o disposto no </w:t>
      </w:r>
      <w:r w:rsidR="00894D94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r w:rsidR="003D16C1" w:rsidRPr="00300667">
        <w:rPr>
          <w:rFonts w:ascii="Times New Roman" w:hAnsi="Times New Roman" w:cs="Times New Roman"/>
          <w:sz w:val="24"/>
          <w:szCs w:val="24"/>
        </w:rPr>
        <w:t>5.</w:t>
      </w:r>
      <w:r w:rsidR="00394E5B" w:rsidRPr="00300667">
        <w:rPr>
          <w:rFonts w:ascii="Times New Roman" w:hAnsi="Times New Roman" w:cs="Times New Roman"/>
          <w:sz w:val="24"/>
          <w:szCs w:val="24"/>
        </w:rPr>
        <w:t>7</w:t>
      </w:r>
      <w:r w:rsidR="00D52993" w:rsidRPr="00300667">
        <w:rPr>
          <w:rFonts w:ascii="Times New Roman" w:hAnsi="Times New Roman" w:cs="Times New Roman"/>
          <w:sz w:val="24"/>
          <w:szCs w:val="24"/>
        </w:rPr>
        <w:t>.</w:t>
      </w:r>
    </w:p>
    <w:p w:rsidR="00894D94" w:rsidRPr="00300667" w:rsidRDefault="00B15B12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Se não obtiver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êxito nas negociações, o órgão ou e</w:t>
      </w:r>
      <w:r w:rsidR="00894D94" w:rsidRPr="00300667">
        <w:rPr>
          <w:rFonts w:ascii="Times New Roman" w:hAnsi="Times New Roman" w:cs="Times New Roman"/>
          <w:sz w:val="24"/>
          <w:szCs w:val="24"/>
        </w:rPr>
        <w:t>nti</w:t>
      </w:r>
      <w:r w:rsidR="00D52993" w:rsidRPr="00300667">
        <w:rPr>
          <w:rFonts w:ascii="Times New Roman" w:hAnsi="Times New Roman" w:cs="Times New Roman"/>
          <w:sz w:val="24"/>
          <w:szCs w:val="24"/>
        </w:rPr>
        <w:t>dade gerenciadora procede</w:t>
      </w:r>
      <w:r w:rsidR="00DA45E5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>á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ao cancelamento 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reços, nos termos 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do item </w:t>
      </w:r>
      <w:fldSimple w:instr=" REF cancelamento_da_ata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9.4</w:t>
        </w:r>
      </w:fldSimple>
      <w:r w:rsidR="00D52993" w:rsidRPr="00300667">
        <w:rPr>
          <w:rFonts w:ascii="Times New Roman" w:hAnsi="Times New Roman" w:cs="Times New Roman"/>
          <w:sz w:val="24"/>
          <w:szCs w:val="24"/>
        </w:rPr>
        <w:t xml:space="preserve">, </w:t>
      </w:r>
      <w:r w:rsidR="00B16A5B" w:rsidRPr="00300667">
        <w:rPr>
          <w:rFonts w:ascii="Times New Roman" w:hAnsi="Times New Roman" w:cs="Times New Roman"/>
          <w:sz w:val="24"/>
          <w:szCs w:val="24"/>
        </w:rPr>
        <w:t xml:space="preserve">e </w:t>
      </w:r>
      <w:r w:rsidR="00D52993" w:rsidRPr="00300667">
        <w:rPr>
          <w:rFonts w:ascii="Times New Roman" w:hAnsi="Times New Roman" w:cs="Times New Roman"/>
          <w:sz w:val="24"/>
          <w:szCs w:val="24"/>
        </w:rPr>
        <w:t>adota</w:t>
      </w:r>
      <w:r w:rsidR="00B16A5B" w:rsidRPr="00300667">
        <w:rPr>
          <w:rFonts w:ascii="Times New Roman" w:hAnsi="Times New Roman" w:cs="Times New Roman"/>
          <w:sz w:val="24"/>
          <w:szCs w:val="24"/>
        </w:rPr>
        <w:t>rá</w:t>
      </w:r>
      <w:r w:rsidR="00D52993" w:rsidRPr="00300667">
        <w:rPr>
          <w:rFonts w:ascii="Times New Roman" w:hAnsi="Times New Roman" w:cs="Times New Roman"/>
          <w:sz w:val="24"/>
          <w:szCs w:val="24"/>
        </w:rPr>
        <w:t xml:space="preserve"> as medidas cabíveis para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6063A3" w:rsidRPr="00300667">
        <w:rPr>
          <w:rFonts w:ascii="Times New Roman" w:hAnsi="Times New Roman" w:cs="Times New Roman"/>
          <w:sz w:val="24"/>
          <w:szCs w:val="24"/>
        </w:rPr>
        <w:t xml:space="preserve">a </w:t>
      </w:r>
      <w:r w:rsidR="00894D94" w:rsidRPr="00300667">
        <w:rPr>
          <w:rFonts w:ascii="Times New Roman" w:hAnsi="Times New Roman" w:cs="Times New Roman"/>
          <w:sz w:val="24"/>
          <w:szCs w:val="24"/>
        </w:rPr>
        <w:t>obtenção da contratação mais vantajosa.</w:t>
      </w:r>
      <w:bookmarkStart w:id="8" w:name="majora_preco_mercado_negociacao_frustra"/>
      <w:bookmarkEnd w:id="8"/>
    </w:p>
    <w:p w:rsidR="00894D94" w:rsidRPr="00300667" w:rsidRDefault="00894D94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lastRenderedPageBreak/>
        <w:t xml:space="preserve">Na hipótese </w:t>
      </w:r>
      <w:r w:rsidR="00EC0980" w:rsidRPr="00300667">
        <w:rPr>
          <w:rFonts w:ascii="Times New Roman" w:hAnsi="Times New Roman" w:cs="Times New Roman"/>
          <w:sz w:val="24"/>
          <w:szCs w:val="24"/>
        </w:rPr>
        <w:t>de comprovação da majoração do preço de mercado</w:t>
      </w:r>
      <w:r w:rsidR="00B94E10" w:rsidRPr="00300667">
        <w:rPr>
          <w:rFonts w:ascii="Times New Roman" w:hAnsi="Times New Roman" w:cs="Times New Roman"/>
          <w:sz w:val="24"/>
          <w:szCs w:val="24"/>
        </w:rPr>
        <w:t xml:space="preserve"> que inviabilize o preço registrado, conforme previsto </w:t>
      </w:r>
      <w:r w:rsidR="00DA45E5" w:rsidRPr="00300667">
        <w:rPr>
          <w:rFonts w:ascii="Times New Roman" w:hAnsi="Times New Roman" w:cs="Times New Roman"/>
          <w:sz w:val="24"/>
          <w:szCs w:val="24"/>
        </w:rPr>
        <w:t xml:space="preserve">no item </w:t>
      </w:r>
      <w:fldSimple w:instr=" REF hipotese_preco_mercado_maior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7.2</w:t>
        </w:r>
      </w:fldSimple>
      <w:r w:rsidR="00D10B9F" w:rsidRPr="00300667">
        <w:rPr>
          <w:rFonts w:ascii="Times New Roman" w:hAnsi="Times New Roman" w:cs="Times New Roman"/>
          <w:sz w:val="24"/>
          <w:szCs w:val="24"/>
        </w:rPr>
        <w:t xml:space="preserve"> e </w:t>
      </w:r>
      <w:r w:rsidR="00EC0980" w:rsidRPr="00300667">
        <w:rPr>
          <w:rFonts w:ascii="Times New Roman" w:hAnsi="Times New Roman" w:cs="Times New Roman"/>
          <w:sz w:val="24"/>
          <w:szCs w:val="24"/>
        </w:rPr>
        <w:t xml:space="preserve">no item </w:t>
      </w:r>
      <w:fldSimple w:instr=" REF prova_preco_mercado_maior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7.2.1</w:t>
        </w:r>
      </w:fldSimple>
      <w:r w:rsidRPr="00300667">
        <w:rPr>
          <w:rFonts w:ascii="Times New Roman" w:hAnsi="Times New Roman" w:cs="Times New Roman"/>
          <w:sz w:val="24"/>
          <w:szCs w:val="24"/>
        </w:rPr>
        <w:t>, o órgão ou en</w:t>
      </w:r>
      <w:r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dade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gerenciadora atualiza</w:t>
      </w:r>
      <w:r w:rsidR="00B94E10" w:rsidRPr="00300667">
        <w:rPr>
          <w:rFonts w:ascii="Times New Roman" w:hAnsi="Times New Roman" w:cs="Times New Roman"/>
          <w:sz w:val="24"/>
          <w:szCs w:val="24"/>
        </w:rPr>
        <w:t>rá</w:t>
      </w:r>
      <w:r w:rsidRPr="00300667">
        <w:rPr>
          <w:rFonts w:ascii="Times New Roman" w:hAnsi="Times New Roman" w:cs="Times New Roman"/>
          <w:sz w:val="24"/>
          <w:szCs w:val="24"/>
        </w:rPr>
        <w:t xml:space="preserve"> o preço registrado, de acordo com a realidade dos valorespraticados pelo mercado.</w:t>
      </w:r>
    </w:p>
    <w:p w:rsidR="00784168" w:rsidRPr="00300667" w:rsidRDefault="00DA45E5" w:rsidP="00D5069B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 ó</w:t>
      </w:r>
      <w:r w:rsidR="00894D94" w:rsidRPr="00300667">
        <w:rPr>
          <w:rFonts w:ascii="Times New Roman" w:hAnsi="Times New Roman" w:cs="Times New Roman"/>
          <w:sz w:val="24"/>
          <w:szCs w:val="24"/>
        </w:rPr>
        <w:t>rgão ou en</w:t>
      </w:r>
      <w:r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894D94" w:rsidRPr="00300667">
        <w:rPr>
          <w:rFonts w:ascii="Times New Roman" w:hAnsi="Times New Roman" w:cs="Times New Roman"/>
          <w:sz w:val="24"/>
          <w:szCs w:val="24"/>
        </w:rPr>
        <w:t>dade gerenciadora comunicar</w:t>
      </w:r>
      <w:r w:rsidR="000F4F59" w:rsidRPr="00300667">
        <w:rPr>
          <w:rFonts w:ascii="Times New Roman" w:hAnsi="Times New Roman" w:cs="Times New Roman"/>
          <w:sz w:val="24"/>
          <w:szCs w:val="24"/>
        </w:rPr>
        <w:t>á</w:t>
      </w:r>
      <w:r w:rsidR="00894D94" w:rsidRPr="00300667">
        <w:rPr>
          <w:rFonts w:ascii="Times New Roman" w:hAnsi="Times New Roman" w:cs="Times New Roman"/>
          <w:sz w:val="24"/>
          <w:szCs w:val="24"/>
        </w:rPr>
        <w:t xml:space="preserve"> aos órgãos e </w:t>
      </w:r>
      <w:r w:rsidR="000F4F59" w:rsidRPr="00300667">
        <w:rPr>
          <w:rFonts w:ascii="Times New Roman" w:hAnsi="Times New Roman" w:cs="Times New Roman"/>
          <w:sz w:val="24"/>
          <w:szCs w:val="24"/>
        </w:rPr>
        <w:t>à</w:t>
      </w:r>
      <w:r w:rsidR="00894D94" w:rsidRPr="00300667">
        <w:rPr>
          <w:rFonts w:ascii="Times New Roman" w:hAnsi="Times New Roman" w:cs="Times New Roman"/>
          <w:sz w:val="24"/>
          <w:szCs w:val="24"/>
        </w:rPr>
        <w:t>s en</w:t>
      </w:r>
      <w:r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894D94" w:rsidRPr="00300667">
        <w:rPr>
          <w:rFonts w:ascii="Times New Roman" w:hAnsi="Times New Roman" w:cs="Times New Roman"/>
          <w:sz w:val="24"/>
          <w:szCs w:val="24"/>
        </w:rPr>
        <w:t>dades que</w:t>
      </w:r>
      <w:r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894D94" w:rsidRPr="00300667">
        <w:rPr>
          <w:rFonts w:ascii="Times New Roman" w:hAnsi="Times New Roman" w:cs="Times New Roman"/>
          <w:sz w:val="24"/>
          <w:szCs w:val="24"/>
        </w:rPr>
        <w:t xml:space="preserve">verem </w:t>
      </w:r>
      <w:r w:rsidR="000F4F59" w:rsidRPr="00300667">
        <w:rPr>
          <w:rFonts w:ascii="Times New Roman" w:hAnsi="Times New Roman" w:cs="Times New Roman"/>
          <w:sz w:val="24"/>
          <w:szCs w:val="24"/>
        </w:rPr>
        <w:t xml:space="preserve">firmado </w:t>
      </w:r>
      <w:r w:rsidR="00894D94" w:rsidRPr="00300667">
        <w:rPr>
          <w:rFonts w:ascii="Times New Roman" w:hAnsi="Times New Roman" w:cs="Times New Roman"/>
          <w:sz w:val="24"/>
          <w:szCs w:val="24"/>
        </w:rPr>
        <w:t xml:space="preserve">contratos </w:t>
      </w:r>
      <w:r w:rsidR="00DF4FD2" w:rsidRPr="00300667">
        <w:rPr>
          <w:rFonts w:ascii="Times New Roman" w:hAnsi="Times New Roman" w:cs="Times New Roman"/>
          <w:sz w:val="24"/>
          <w:szCs w:val="24"/>
        </w:rPr>
        <w:t xml:space="preserve">decorrentes 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="00DF4FD2"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="00DF4FD2"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="00DF4FD2" w:rsidRPr="00300667">
        <w:rPr>
          <w:rFonts w:ascii="Times New Roman" w:hAnsi="Times New Roman" w:cs="Times New Roman"/>
          <w:sz w:val="24"/>
          <w:szCs w:val="24"/>
        </w:rPr>
        <w:t xml:space="preserve">reços </w:t>
      </w:r>
      <w:r w:rsidR="00894D94" w:rsidRPr="00300667">
        <w:rPr>
          <w:rFonts w:ascii="Times New Roman" w:hAnsi="Times New Roman" w:cs="Times New Roman"/>
          <w:sz w:val="24"/>
          <w:szCs w:val="24"/>
        </w:rPr>
        <w:t>sobre a efe</w:t>
      </w:r>
      <w:r w:rsidRPr="00300667">
        <w:rPr>
          <w:rFonts w:ascii="Times New Roman" w:eastAsia="Calibri" w:hAnsi="Times New Roman" w:cs="Times New Roman"/>
          <w:sz w:val="24"/>
          <w:szCs w:val="24"/>
        </w:rPr>
        <w:t>ti</w:t>
      </w:r>
      <w:r w:rsidR="00894D94" w:rsidRPr="00300667">
        <w:rPr>
          <w:rFonts w:ascii="Times New Roman" w:hAnsi="Times New Roman" w:cs="Times New Roman"/>
          <w:sz w:val="24"/>
          <w:szCs w:val="24"/>
        </w:rPr>
        <w:t>va alteração do preço registrado, para que avaliem a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894D94" w:rsidRPr="00300667">
        <w:rPr>
          <w:rFonts w:ascii="Times New Roman" w:hAnsi="Times New Roman" w:cs="Times New Roman"/>
          <w:sz w:val="24"/>
          <w:szCs w:val="24"/>
        </w:rPr>
        <w:t xml:space="preserve">necessidade de alteração contratual, observado o disposto no </w:t>
      </w:r>
      <w:r w:rsidR="009C5E2C" w:rsidRPr="00300667">
        <w:rPr>
          <w:rFonts w:ascii="Times New Roman" w:hAnsi="Times New Roman" w:cs="Times New Roman"/>
          <w:sz w:val="24"/>
          <w:szCs w:val="24"/>
        </w:rPr>
        <w:t>art. 124 da Lei nº 14.133, de 2021</w:t>
      </w:r>
      <w:r w:rsidR="00894D94" w:rsidRPr="00300667">
        <w:rPr>
          <w:rFonts w:ascii="Times New Roman" w:hAnsi="Times New Roman" w:cs="Times New Roman"/>
          <w:sz w:val="24"/>
          <w:szCs w:val="24"/>
        </w:rPr>
        <w:t>.</w:t>
      </w:r>
    </w:p>
    <w:p w:rsidR="00A57D0E" w:rsidRPr="00300667" w:rsidRDefault="00A57D0E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REMANEJAMENTO DAS QUANTIDADES REGISTRADAS NA ATA DE REGISTRO DE PREÇOS</w:t>
      </w:r>
    </w:p>
    <w:p w:rsidR="00675F59" w:rsidRPr="00300667" w:rsidRDefault="002B17AD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As quan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 xml:space="preserve">dades previstas para os itens com preços registrados na </w:t>
      </w:r>
      <w:r w:rsidR="00320E03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320E03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>egistro de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320E03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 poderão ser remanejadas pelo órgão ou en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 xml:space="preserve">dade gerenciadora entre os órgãos ou </w:t>
      </w:r>
      <w:r w:rsidR="000B1AEC" w:rsidRPr="00300667">
        <w:rPr>
          <w:rFonts w:ascii="Times New Roman" w:hAnsi="Times New Roman" w:cs="Times New Roman"/>
          <w:sz w:val="24"/>
          <w:szCs w:val="24"/>
        </w:rPr>
        <w:t xml:space="preserve">as </w:t>
      </w:r>
      <w:r w:rsidRPr="00300667">
        <w:rPr>
          <w:rFonts w:ascii="Times New Roman" w:hAnsi="Times New Roman" w:cs="Times New Roman"/>
          <w:sz w:val="24"/>
          <w:szCs w:val="24"/>
        </w:rPr>
        <w:t>en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dadespar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cipantes e não par</w:t>
      </w:r>
      <w:r w:rsidR="00D13B70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cipantes do registro depreços.</w:t>
      </w:r>
    </w:p>
    <w:p w:rsidR="000D4F5C" w:rsidRPr="00300667" w:rsidRDefault="002B17AD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 remanejamento somente poderá ser feito</w:t>
      </w:r>
      <w:r w:rsidR="000D4F5C" w:rsidRPr="00300667">
        <w:rPr>
          <w:rFonts w:ascii="Times New Roman" w:hAnsi="Times New Roman" w:cs="Times New Roman"/>
          <w:sz w:val="24"/>
          <w:szCs w:val="24"/>
        </w:rPr>
        <w:t>:</w:t>
      </w:r>
    </w:p>
    <w:p w:rsidR="00943891" w:rsidRPr="00300667" w:rsidRDefault="002B6B17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D</w:t>
      </w:r>
      <w:r w:rsidR="002B17AD" w:rsidRPr="00300667">
        <w:rPr>
          <w:rFonts w:ascii="Times New Roman" w:hAnsi="Times New Roman" w:cs="Times New Roman"/>
          <w:sz w:val="24"/>
          <w:szCs w:val="24"/>
        </w:rPr>
        <w:t>e órgão ou en</w:t>
      </w:r>
      <w:r w:rsidR="00D13B70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2B17AD" w:rsidRPr="00300667">
        <w:rPr>
          <w:rFonts w:ascii="Times New Roman" w:hAnsi="Times New Roman" w:cs="Times New Roman"/>
          <w:sz w:val="24"/>
          <w:szCs w:val="24"/>
        </w:rPr>
        <w:t>dade</w:t>
      </w:r>
      <w:r w:rsidR="00BA47CD">
        <w:rPr>
          <w:rFonts w:ascii="Times New Roman" w:hAnsi="Times New Roman" w:cs="Times New Roman"/>
          <w:sz w:val="24"/>
          <w:szCs w:val="24"/>
        </w:rPr>
        <w:t xml:space="preserve"> </w:t>
      </w:r>
      <w:r w:rsidR="002B17AD" w:rsidRPr="00300667">
        <w:rPr>
          <w:rFonts w:ascii="Times New Roman" w:hAnsi="Times New Roman" w:cs="Times New Roman"/>
          <w:sz w:val="24"/>
          <w:szCs w:val="24"/>
        </w:rPr>
        <w:t>par</w:t>
      </w:r>
      <w:r w:rsidR="00D13B70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2B17AD" w:rsidRPr="00300667">
        <w:rPr>
          <w:rFonts w:ascii="Times New Roman" w:hAnsi="Times New Roman" w:cs="Times New Roman"/>
          <w:sz w:val="24"/>
          <w:szCs w:val="24"/>
        </w:rPr>
        <w:t>cipante para órgão ou en</w:t>
      </w:r>
      <w:r w:rsidR="00D13B70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2B17AD" w:rsidRPr="00300667">
        <w:rPr>
          <w:rFonts w:ascii="Times New Roman" w:hAnsi="Times New Roman" w:cs="Times New Roman"/>
          <w:sz w:val="24"/>
          <w:szCs w:val="24"/>
        </w:rPr>
        <w:t>dade par</w:t>
      </w:r>
      <w:r w:rsidR="00D13B70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2B17AD" w:rsidRPr="00300667">
        <w:rPr>
          <w:rFonts w:ascii="Times New Roman" w:hAnsi="Times New Roman" w:cs="Times New Roman"/>
          <w:sz w:val="24"/>
          <w:szCs w:val="24"/>
        </w:rPr>
        <w:t>cipante</w:t>
      </w:r>
      <w:r w:rsidR="00943891" w:rsidRPr="00300667">
        <w:rPr>
          <w:rFonts w:ascii="Times New Roman" w:hAnsi="Times New Roman" w:cs="Times New Roman"/>
          <w:sz w:val="24"/>
          <w:szCs w:val="24"/>
        </w:rPr>
        <w:t>; ou</w:t>
      </w:r>
    </w:p>
    <w:p w:rsidR="00675F59" w:rsidRPr="00300667" w:rsidRDefault="002B6B17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D</w:t>
      </w:r>
      <w:r w:rsidR="002B17AD" w:rsidRPr="00300667">
        <w:rPr>
          <w:rFonts w:ascii="Times New Roman" w:hAnsi="Times New Roman" w:cs="Times New Roman"/>
          <w:sz w:val="24"/>
          <w:szCs w:val="24"/>
        </w:rPr>
        <w:t>e órgão ou en</w:t>
      </w:r>
      <w:r w:rsidR="00D13B70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2B17AD" w:rsidRPr="00300667">
        <w:rPr>
          <w:rFonts w:ascii="Times New Roman" w:hAnsi="Times New Roman" w:cs="Times New Roman"/>
          <w:sz w:val="24"/>
          <w:szCs w:val="24"/>
        </w:rPr>
        <w:t>dade par</w:t>
      </w:r>
      <w:r w:rsidR="00D13B70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2B17AD" w:rsidRPr="00300667">
        <w:rPr>
          <w:rFonts w:ascii="Times New Roman" w:hAnsi="Times New Roman" w:cs="Times New Roman"/>
          <w:sz w:val="24"/>
          <w:szCs w:val="24"/>
        </w:rPr>
        <w:t>cipante para órgão o</w:t>
      </w:r>
      <w:r w:rsidR="00675F59" w:rsidRPr="00300667">
        <w:rPr>
          <w:rFonts w:ascii="Times New Roman" w:hAnsi="Times New Roman" w:cs="Times New Roman"/>
          <w:sz w:val="24"/>
          <w:szCs w:val="24"/>
        </w:rPr>
        <w:t>u entidade não participante.</w:t>
      </w:r>
    </w:p>
    <w:p w:rsidR="00675F59" w:rsidRPr="00300667" w:rsidRDefault="00675F59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 órgão ou en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 xml:space="preserve">dade gerenciadora que </w:t>
      </w:r>
      <w:r w:rsidR="00E625B3" w:rsidRPr="00300667">
        <w:rPr>
          <w:rFonts w:ascii="Times New Roman" w:hAnsi="Times New Roman" w:cs="Times New Roman"/>
          <w:sz w:val="24"/>
          <w:szCs w:val="24"/>
        </w:rPr>
        <w:t xml:space="preserve">tiver </w:t>
      </w:r>
      <w:r w:rsidRPr="00300667">
        <w:rPr>
          <w:rFonts w:ascii="Times New Roman" w:hAnsi="Times New Roman" w:cs="Times New Roman"/>
          <w:sz w:val="24"/>
          <w:szCs w:val="24"/>
        </w:rPr>
        <w:t>es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m</w:t>
      </w:r>
      <w:r w:rsidR="00E625B3" w:rsidRPr="00300667">
        <w:rPr>
          <w:rFonts w:ascii="Times New Roman" w:hAnsi="Times New Roman" w:cs="Times New Roman"/>
          <w:sz w:val="24"/>
          <w:szCs w:val="24"/>
        </w:rPr>
        <w:t>ad</w:t>
      </w:r>
      <w:r w:rsidRPr="00300667">
        <w:rPr>
          <w:rFonts w:ascii="Times New Roman" w:hAnsi="Times New Roman" w:cs="Times New Roman"/>
          <w:sz w:val="24"/>
          <w:szCs w:val="24"/>
        </w:rPr>
        <w:t>o</w:t>
      </w:r>
      <w:r w:rsidR="00E625B3" w:rsidRPr="00300667">
        <w:rPr>
          <w:rFonts w:ascii="Times New Roman" w:hAnsi="Times New Roman" w:cs="Times New Roman"/>
          <w:sz w:val="24"/>
          <w:szCs w:val="24"/>
        </w:rPr>
        <w:t xml:space="preserve"> as</w:t>
      </w:r>
      <w:r w:rsidRPr="00300667">
        <w:rPr>
          <w:rFonts w:ascii="Times New Roman" w:hAnsi="Times New Roman" w:cs="Times New Roman"/>
          <w:sz w:val="24"/>
          <w:szCs w:val="24"/>
        </w:rPr>
        <w:t xml:space="preserve"> quan</w:t>
      </w:r>
      <w:r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dades que pretende contratar será considerado participante para efeito do remanejamento.</w:t>
      </w:r>
      <w:bookmarkStart w:id="9" w:name="gerenciador_estimador_é_partic_em_remane"/>
      <w:bookmarkEnd w:id="9"/>
    </w:p>
    <w:p w:rsidR="00675F59" w:rsidRPr="00300667" w:rsidRDefault="00AA3CAB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Na hipótese</w:t>
      </w:r>
      <w:r w:rsidR="00675F59" w:rsidRPr="00300667">
        <w:rPr>
          <w:rFonts w:ascii="Times New Roman" w:hAnsi="Times New Roman" w:cs="Times New Roman"/>
          <w:sz w:val="24"/>
          <w:szCs w:val="24"/>
        </w:rPr>
        <w:t xml:space="preserve"> de remanejamento de órgão ou en</w:t>
      </w:r>
      <w:r w:rsidR="00CF4619" w:rsidRPr="00300667">
        <w:rPr>
          <w:rFonts w:ascii="Times New Roman" w:hAnsi="Times New Roman" w:cs="Times New Roman"/>
          <w:sz w:val="24"/>
          <w:szCs w:val="24"/>
        </w:rPr>
        <w:t>tid</w:t>
      </w:r>
      <w:r w:rsidR="00675F59" w:rsidRPr="00300667">
        <w:rPr>
          <w:rFonts w:ascii="Times New Roman" w:hAnsi="Times New Roman" w:cs="Times New Roman"/>
          <w:sz w:val="24"/>
          <w:szCs w:val="24"/>
        </w:rPr>
        <w:t>ade par</w:t>
      </w:r>
      <w:r w:rsidR="00CF4619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75F59" w:rsidRPr="00300667">
        <w:rPr>
          <w:rFonts w:ascii="Times New Roman" w:hAnsi="Times New Roman" w:cs="Times New Roman"/>
          <w:sz w:val="24"/>
          <w:szCs w:val="24"/>
        </w:rPr>
        <w:t>cipante para órgão ou e</w:t>
      </w:r>
      <w:r w:rsidR="00CF4619" w:rsidRPr="00300667">
        <w:rPr>
          <w:rFonts w:ascii="Times New Roman" w:hAnsi="Times New Roman" w:cs="Times New Roman"/>
          <w:sz w:val="24"/>
          <w:szCs w:val="24"/>
        </w:rPr>
        <w:t>nti</w:t>
      </w:r>
      <w:r w:rsidR="00675F59" w:rsidRPr="00300667">
        <w:rPr>
          <w:rFonts w:ascii="Times New Roman" w:hAnsi="Times New Roman" w:cs="Times New Roman"/>
          <w:sz w:val="24"/>
          <w:szCs w:val="24"/>
        </w:rPr>
        <w:t>dadenão participante, ser</w:t>
      </w:r>
      <w:r w:rsidRPr="00300667">
        <w:rPr>
          <w:rFonts w:ascii="Times New Roman" w:hAnsi="Times New Roman" w:cs="Times New Roman"/>
          <w:sz w:val="24"/>
          <w:szCs w:val="24"/>
        </w:rPr>
        <w:t>ão</w:t>
      </w:r>
      <w:r w:rsidR="00675F59" w:rsidRPr="00300667">
        <w:rPr>
          <w:rFonts w:ascii="Times New Roman" w:hAnsi="Times New Roman" w:cs="Times New Roman"/>
          <w:sz w:val="24"/>
          <w:szCs w:val="24"/>
        </w:rPr>
        <w:t xml:space="preserve"> observados os limites previstos</w:t>
      </w:r>
      <w:r w:rsidR="00320E03" w:rsidRPr="00300667">
        <w:rPr>
          <w:rFonts w:ascii="Times New Roman" w:hAnsi="Times New Roman" w:cs="Times New Roman"/>
          <w:sz w:val="24"/>
          <w:szCs w:val="24"/>
        </w:rPr>
        <w:t xml:space="preserve"> para as adesões.</w:t>
      </w:r>
    </w:p>
    <w:p w:rsidR="00675F59" w:rsidRPr="00300667" w:rsidRDefault="00A97F9D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C</w:t>
      </w:r>
      <w:r w:rsidR="005C526F" w:rsidRPr="00300667">
        <w:rPr>
          <w:rFonts w:ascii="Times New Roman" w:hAnsi="Times New Roman" w:cs="Times New Roman"/>
          <w:sz w:val="24"/>
          <w:szCs w:val="24"/>
        </w:rPr>
        <w:t>ompetirá</w:t>
      </w:r>
      <w:r w:rsidR="00675F59" w:rsidRPr="00300667">
        <w:rPr>
          <w:rFonts w:ascii="Times New Roman" w:hAnsi="Times New Roman" w:cs="Times New Roman"/>
          <w:sz w:val="24"/>
          <w:szCs w:val="24"/>
        </w:rPr>
        <w:t xml:space="preserve"> ao órgão ou </w:t>
      </w:r>
      <w:r w:rsidR="005C526F" w:rsidRPr="00300667">
        <w:rPr>
          <w:rFonts w:ascii="Times New Roman" w:hAnsi="Times New Roman" w:cs="Times New Roman"/>
          <w:sz w:val="24"/>
          <w:szCs w:val="24"/>
        </w:rPr>
        <w:t xml:space="preserve">à </w:t>
      </w:r>
      <w:r w:rsidR="00675F59" w:rsidRPr="00300667">
        <w:rPr>
          <w:rFonts w:ascii="Times New Roman" w:hAnsi="Times New Roman" w:cs="Times New Roman"/>
          <w:sz w:val="24"/>
          <w:szCs w:val="24"/>
        </w:rPr>
        <w:t>en</w:t>
      </w:r>
      <w:r w:rsidR="00CF4619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75F59" w:rsidRPr="00300667">
        <w:rPr>
          <w:rFonts w:ascii="Times New Roman" w:hAnsi="Times New Roman" w:cs="Times New Roman"/>
          <w:sz w:val="24"/>
          <w:szCs w:val="24"/>
        </w:rPr>
        <w:t>dade gerenciadora autorizar oremanejamento solicitado, com a redução do quan</w:t>
      </w:r>
      <w:r w:rsidR="00CF4619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75F59" w:rsidRPr="00300667">
        <w:rPr>
          <w:rFonts w:ascii="Times New Roman" w:hAnsi="Times New Roman" w:cs="Times New Roman"/>
          <w:sz w:val="24"/>
          <w:szCs w:val="24"/>
        </w:rPr>
        <w:t>ta</w:t>
      </w:r>
      <w:r w:rsidR="00CF4619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75F59" w:rsidRPr="00300667">
        <w:rPr>
          <w:rFonts w:ascii="Times New Roman" w:hAnsi="Times New Roman" w:cs="Times New Roman"/>
          <w:sz w:val="24"/>
          <w:szCs w:val="24"/>
        </w:rPr>
        <w:t xml:space="preserve">vo inicialmente informado pelo órgão ou </w:t>
      </w:r>
      <w:r w:rsidR="0075420C" w:rsidRPr="00300667">
        <w:rPr>
          <w:rFonts w:ascii="Times New Roman" w:hAnsi="Times New Roman" w:cs="Times New Roman"/>
          <w:sz w:val="24"/>
          <w:szCs w:val="24"/>
        </w:rPr>
        <w:t xml:space="preserve">pela </w:t>
      </w:r>
      <w:r w:rsidR="00675F59" w:rsidRPr="00300667">
        <w:rPr>
          <w:rFonts w:ascii="Times New Roman" w:hAnsi="Times New Roman" w:cs="Times New Roman"/>
          <w:sz w:val="24"/>
          <w:szCs w:val="24"/>
        </w:rPr>
        <w:t>en</w:t>
      </w:r>
      <w:r w:rsidR="00CF4619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75F59" w:rsidRPr="00300667">
        <w:rPr>
          <w:rFonts w:ascii="Times New Roman" w:hAnsi="Times New Roman" w:cs="Times New Roman"/>
          <w:sz w:val="24"/>
          <w:szCs w:val="24"/>
        </w:rPr>
        <w:t>dadepar</w:t>
      </w:r>
      <w:r w:rsidR="00CF4619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75F59" w:rsidRPr="00300667">
        <w:rPr>
          <w:rFonts w:ascii="Times New Roman" w:hAnsi="Times New Roman" w:cs="Times New Roman"/>
          <w:sz w:val="24"/>
          <w:szCs w:val="24"/>
        </w:rPr>
        <w:t>cipante, desde que haja prévia anuência do órgão ou da en</w:t>
      </w:r>
      <w:r w:rsidR="00CF4619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675F59" w:rsidRPr="00300667">
        <w:rPr>
          <w:rFonts w:ascii="Times New Roman" w:hAnsi="Times New Roman" w:cs="Times New Roman"/>
          <w:sz w:val="24"/>
          <w:szCs w:val="24"/>
        </w:rPr>
        <w:t>dade que sofrer redução dosquantitativos informados.</w:t>
      </w:r>
    </w:p>
    <w:p w:rsidR="00675F59" w:rsidRPr="00300667" w:rsidRDefault="00675F59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Caso o remanejamento seja feito entre </w:t>
      </w:r>
      <w:r w:rsidRPr="009C0A6B">
        <w:rPr>
          <w:rFonts w:ascii="Times New Roman" w:hAnsi="Times New Roman" w:cs="Times New Roman"/>
          <w:sz w:val="24"/>
          <w:szCs w:val="24"/>
        </w:rPr>
        <w:t>órgãos ou en</w:t>
      </w:r>
      <w:r w:rsidR="00DC1B9F" w:rsidRPr="009C0A6B">
        <w:rPr>
          <w:rFonts w:ascii="Times New Roman" w:eastAsia="Arial" w:hAnsi="Times New Roman" w:cs="Times New Roman"/>
          <w:sz w:val="24"/>
          <w:szCs w:val="24"/>
        </w:rPr>
        <w:t>ti</w:t>
      </w:r>
      <w:r w:rsidRPr="009C0A6B">
        <w:rPr>
          <w:rFonts w:ascii="Times New Roman" w:hAnsi="Times New Roman" w:cs="Times New Roman"/>
          <w:sz w:val="24"/>
          <w:szCs w:val="24"/>
        </w:rPr>
        <w:t xml:space="preserve">dades dos </w:t>
      </w:r>
      <w:r w:rsidR="0075420C" w:rsidRPr="009C0A6B">
        <w:rPr>
          <w:rFonts w:ascii="Times New Roman" w:hAnsi="Times New Roman" w:cs="Times New Roman"/>
          <w:sz w:val="24"/>
          <w:szCs w:val="24"/>
        </w:rPr>
        <w:t>E</w:t>
      </w:r>
      <w:r w:rsidRPr="009C0A6B">
        <w:rPr>
          <w:rFonts w:ascii="Times New Roman" w:hAnsi="Times New Roman" w:cs="Times New Roman"/>
          <w:sz w:val="24"/>
          <w:szCs w:val="24"/>
        </w:rPr>
        <w:t xml:space="preserve">stados, do </w:t>
      </w:r>
      <w:r w:rsidR="0075420C" w:rsidRPr="009C0A6B">
        <w:rPr>
          <w:rFonts w:ascii="Times New Roman" w:hAnsi="Times New Roman" w:cs="Times New Roman"/>
          <w:sz w:val="24"/>
          <w:szCs w:val="24"/>
        </w:rPr>
        <w:t>D</w:t>
      </w:r>
      <w:r w:rsidRPr="009C0A6B">
        <w:rPr>
          <w:rFonts w:ascii="Times New Roman" w:hAnsi="Times New Roman" w:cs="Times New Roman"/>
          <w:sz w:val="24"/>
          <w:szCs w:val="24"/>
        </w:rPr>
        <w:t>istrito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75420C" w:rsidRPr="009C0A6B">
        <w:rPr>
          <w:rFonts w:ascii="Times New Roman" w:hAnsi="Times New Roman" w:cs="Times New Roman"/>
          <w:sz w:val="24"/>
          <w:szCs w:val="24"/>
        </w:rPr>
        <w:t>F</w:t>
      </w:r>
      <w:r w:rsidRPr="009C0A6B">
        <w:rPr>
          <w:rFonts w:ascii="Times New Roman" w:hAnsi="Times New Roman" w:cs="Times New Roman"/>
          <w:sz w:val="24"/>
          <w:szCs w:val="24"/>
        </w:rPr>
        <w:t>ederal ou de Municípios dis</w:t>
      </w:r>
      <w:r w:rsidR="00DC1B9F" w:rsidRPr="009C0A6B">
        <w:rPr>
          <w:rFonts w:ascii="Times New Roman" w:eastAsia="Arial" w:hAnsi="Times New Roman" w:cs="Times New Roman"/>
          <w:sz w:val="24"/>
          <w:szCs w:val="24"/>
        </w:rPr>
        <w:t>ti</w:t>
      </w:r>
      <w:r w:rsidRPr="009C0A6B">
        <w:rPr>
          <w:rFonts w:ascii="Times New Roman" w:hAnsi="Times New Roman" w:cs="Times New Roman"/>
          <w:sz w:val="24"/>
          <w:szCs w:val="24"/>
        </w:rPr>
        <w:t>ntos, caberá</w:t>
      </w:r>
      <w:r w:rsidRPr="00300667">
        <w:rPr>
          <w:rFonts w:ascii="Times New Roman" w:hAnsi="Times New Roman" w:cs="Times New Roman"/>
          <w:sz w:val="24"/>
          <w:szCs w:val="24"/>
        </w:rPr>
        <w:t xml:space="preserve"> ao fornecedor beneficiário 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reços,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observadas as condições nela estabelecidas, optar pela aceitação ou não do fornecimento decorrente doremanejamento dos itens.</w:t>
      </w:r>
    </w:p>
    <w:p w:rsidR="00784168" w:rsidRPr="00300667" w:rsidRDefault="00675F59" w:rsidP="00D5069B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Na hipótese da compra centralizada, não havendo indicação pelo órgão ou </w:t>
      </w:r>
      <w:r w:rsidR="00B85E10" w:rsidRPr="00300667">
        <w:rPr>
          <w:rFonts w:ascii="Times New Roman" w:hAnsi="Times New Roman" w:cs="Times New Roman"/>
          <w:sz w:val="24"/>
          <w:szCs w:val="24"/>
        </w:rPr>
        <w:t xml:space="preserve">pela </w:t>
      </w:r>
      <w:r w:rsidRPr="00300667">
        <w:rPr>
          <w:rFonts w:ascii="Times New Roman" w:hAnsi="Times New Roman" w:cs="Times New Roman"/>
          <w:sz w:val="24"/>
          <w:szCs w:val="24"/>
        </w:rPr>
        <w:t>en</w:t>
      </w:r>
      <w:r w:rsidR="00DC1B9F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dadegerenciadora</w:t>
      </w:r>
      <w:r w:rsidR="00B85E10" w:rsidRPr="00300667">
        <w:rPr>
          <w:rFonts w:ascii="Times New Roman" w:hAnsi="Times New Roman" w:cs="Times New Roman"/>
          <w:sz w:val="24"/>
          <w:szCs w:val="24"/>
        </w:rPr>
        <w:t>,</w:t>
      </w:r>
      <w:r w:rsidRPr="00300667">
        <w:rPr>
          <w:rFonts w:ascii="Times New Roman" w:hAnsi="Times New Roman" w:cs="Times New Roman"/>
          <w:sz w:val="24"/>
          <w:szCs w:val="24"/>
        </w:rPr>
        <w:t xml:space="preserve"> dos quan</w:t>
      </w:r>
      <w:r w:rsidR="00DC1B9F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ta</w:t>
      </w:r>
      <w:r w:rsidR="00DC1B9F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>vos dos par</w:t>
      </w:r>
      <w:r w:rsidR="00DC1B9F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Pr="00300667">
        <w:rPr>
          <w:rFonts w:ascii="Times New Roman" w:hAnsi="Times New Roman" w:cs="Times New Roman"/>
          <w:sz w:val="24"/>
          <w:szCs w:val="24"/>
        </w:rPr>
        <w:t xml:space="preserve">cipantes da compra centralizada, nos termos do </w:t>
      </w:r>
      <w:r w:rsidR="005B2F3B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fldSimple w:instr=" REF gerenciador_estimador_é_partic_em_remane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8.3</w:t>
        </w:r>
      </w:fldSimple>
      <w:r w:rsidRPr="00300667">
        <w:rPr>
          <w:rFonts w:ascii="Times New Roman" w:hAnsi="Times New Roman" w:cs="Times New Roman"/>
          <w:sz w:val="24"/>
          <w:szCs w:val="24"/>
        </w:rPr>
        <w:t>, a distribuição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das quantidades para a execução descentralizada será por meio do remanejamento.</w:t>
      </w:r>
    </w:p>
    <w:p w:rsidR="00520E7A" w:rsidRPr="00300667" w:rsidRDefault="009C5E2C" w:rsidP="00750EA5">
      <w:pPr>
        <w:pStyle w:val="Nivel01"/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CANCELAMENTO DO REGISTRO DO </w:t>
      </w:r>
      <w:r w:rsidR="00305C64" w:rsidRPr="00300667">
        <w:rPr>
          <w:rFonts w:ascii="Times New Roman" w:hAnsi="Times New Roman" w:cs="Times New Roman"/>
          <w:sz w:val="24"/>
          <w:szCs w:val="24"/>
        </w:rPr>
        <w:t>FORNECEDOR</w:t>
      </w:r>
      <w:r w:rsidRPr="00300667">
        <w:rPr>
          <w:rFonts w:ascii="Times New Roman" w:hAnsi="Times New Roman" w:cs="Times New Roman"/>
          <w:sz w:val="24"/>
          <w:szCs w:val="24"/>
        </w:rPr>
        <w:t xml:space="preserve"> E DOS PREÇOS REGISTRADOS</w:t>
      </w:r>
      <w:bookmarkStart w:id="10" w:name="cancelamento"/>
      <w:bookmarkEnd w:id="10"/>
    </w:p>
    <w:p w:rsidR="009C5E2C" w:rsidRPr="00300667" w:rsidRDefault="009C5E2C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O registro do </w:t>
      </w:r>
      <w:r w:rsidR="00870788" w:rsidRPr="00300667">
        <w:rPr>
          <w:rFonts w:ascii="Times New Roman" w:hAnsi="Times New Roman" w:cs="Times New Roman"/>
          <w:sz w:val="24"/>
          <w:szCs w:val="24"/>
        </w:rPr>
        <w:t>fornecedor</w:t>
      </w:r>
      <w:r w:rsidRPr="00300667">
        <w:rPr>
          <w:rFonts w:ascii="Times New Roman" w:hAnsi="Times New Roman" w:cs="Times New Roman"/>
          <w:sz w:val="24"/>
          <w:szCs w:val="24"/>
        </w:rPr>
        <w:t xml:space="preserve"> será cancelado pelo gerenciador</w:t>
      </w:r>
      <w:r w:rsidR="001F52A4" w:rsidRPr="00300667">
        <w:rPr>
          <w:rFonts w:ascii="Times New Roman" w:hAnsi="Times New Roman" w:cs="Times New Roman"/>
          <w:sz w:val="24"/>
          <w:szCs w:val="24"/>
        </w:rPr>
        <w:t>,</w:t>
      </w:r>
      <w:r w:rsidRPr="00300667">
        <w:rPr>
          <w:rFonts w:ascii="Times New Roman" w:hAnsi="Times New Roman" w:cs="Times New Roman"/>
          <w:sz w:val="24"/>
          <w:szCs w:val="24"/>
        </w:rPr>
        <w:t xml:space="preserve"> quando</w:t>
      </w:r>
      <w:r w:rsidR="001F52A4" w:rsidRPr="00300667">
        <w:rPr>
          <w:rFonts w:ascii="Times New Roman" w:hAnsi="Times New Roman" w:cs="Times New Roman"/>
          <w:sz w:val="24"/>
          <w:szCs w:val="24"/>
        </w:rPr>
        <w:t xml:space="preserve"> o fornecedor</w:t>
      </w:r>
      <w:r w:rsidRPr="00300667">
        <w:rPr>
          <w:rFonts w:ascii="Times New Roman" w:hAnsi="Times New Roman" w:cs="Times New Roman"/>
          <w:sz w:val="24"/>
          <w:szCs w:val="24"/>
        </w:rPr>
        <w:t>:</w:t>
      </w:r>
      <w:bookmarkStart w:id="11" w:name="cancelamento_do_fornecedor"/>
      <w:bookmarkEnd w:id="11"/>
    </w:p>
    <w:p w:rsidR="009C5E2C" w:rsidRPr="00300667" w:rsidRDefault="0024690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D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escumprir as condições 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="009C5E2C" w:rsidRPr="00300667">
        <w:rPr>
          <w:rFonts w:ascii="Times New Roman" w:hAnsi="Times New Roman" w:cs="Times New Roman"/>
          <w:sz w:val="24"/>
          <w:szCs w:val="24"/>
        </w:rPr>
        <w:t>reços, sem motivo justificado;</w:t>
      </w:r>
    </w:p>
    <w:p w:rsidR="009C5E2C" w:rsidRPr="00300667" w:rsidRDefault="0024690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</w:t>
      </w:r>
      <w:r w:rsidR="009C5E2C" w:rsidRPr="00300667">
        <w:rPr>
          <w:rFonts w:ascii="Times New Roman" w:hAnsi="Times New Roman" w:cs="Times New Roman"/>
          <w:sz w:val="24"/>
          <w:szCs w:val="24"/>
        </w:rPr>
        <w:t>ão re</w:t>
      </w:r>
      <w:r w:rsidR="009C5E2C" w:rsidRPr="00300667">
        <w:rPr>
          <w:rFonts w:ascii="Times New Roman" w:eastAsia="Arial" w:hAnsi="Times New Roman" w:cs="Times New Roman"/>
          <w:sz w:val="24"/>
          <w:szCs w:val="24"/>
        </w:rPr>
        <w:t>ti</w:t>
      </w:r>
      <w:r w:rsidR="009C5E2C" w:rsidRPr="00300667">
        <w:rPr>
          <w:rFonts w:ascii="Times New Roman" w:hAnsi="Times New Roman" w:cs="Times New Roman"/>
          <w:sz w:val="24"/>
          <w:szCs w:val="24"/>
        </w:rPr>
        <w:t>rar a nota de empenho</w:t>
      </w:r>
      <w:r w:rsidR="001F52A4" w:rsidRPr="00300667">
        <w:rPr>
          <w:rFonts w:ascii="Times New Roman" w:hAnsi="Times New Roman" w:cs="Times New Roman"/>
          <w:sz w:val="24"/>
          <w:szCs w:val="24"/>
        </w:rPr>
        <w:t>,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 ou instrumento equivalente</w:t>
      </w:r>
      <w:r w:rsidR="001F52A4" w:rsidRPr="00300667">
        <w:rPr>
          <w:rFonts w:ascii="Times New Roman" w:hAnsi="Times New Roman" w:cs="Times New Roman"/>
          <w:sz w:val="24"/>
          <w:szCs w:val="24"/>
        </w:rPr>
        <w:t>,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 no prazo estabelecido pela Administração sem justificativa </w:t>
      </w:r>
      <w:r w:rsidR="001F52A4" w:rsidRPr="00300667">
        <w:rPr>
          <w:rFonts w:ascii="Times New Roman" w:hAnsi="Times New Roman" w:cs="Times New Roman"/>
          <w:sz w:val="24"/>
          <w:szCs w:val="24"/>
        </w:rPr>
        <w:t>razoável</w:t>
      </w:r>
      <w:r w:rsidR="009C5E2C" w:rsidRPr="00300667">
        <w:rPr>
          <w:rFonts w:ascii="Times New Roman" w:hAnsi="Times New Roman" w:cs="Times New Roman"/>
          <w:sz w:val="24"/>
          <w:szCs w:val="24"/>
        </w:rPr>
        <w:t>;</w:t>
      </w:r>
    </w:p>
    <w:p w:rsidR="009C5E2C" w:rsidRPr="00300667" w:rsidRDefault="0024690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ão aceitar </w:t>
      </w:r>
      <w:r w:rsidR="00321B61" w:rsidRPr="00300667">
        <w:rPr>
          <w:rFonts w:ascii="Times New Roman" w:hAnsi="Times New Roman" w:cs="Times New Roman"/>
          <w:sz w:val="24"/>
          <w:szCs w:val="24"/>
        </w:rPr>
        <w:t>manter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 seu preço registrado, na hipótese </w:t>
      </w:r>
      <w:r w:rsidR="005D6F0C" w:rsidRPr="00300667">
        <w:rPr>
          <w:rFonts w:ascii="Times New Roman" w:hAnsi="Times New Roman" w:cs="Times New Roman"/>
          <w:sz w:val="24"/>
          <w:szCs w:val="24"/>
        </w:rPr>
        <w:t>de não comprovação da existência de fato superveniente que inviabilize o preço registrado</w:t>
      </w:r>
      <w:r w:rsidR="00346A9C" w:rsidRPr="00300667">
        <w:rPr>
          <w:rFonts w:ascii="Times New Roman" w:hAnsi="Times New Roman" w:cs="Times New Roman"/>
          <w:sz w:val="24"/>
          <w:szCs w:val="24"/>
        </w:rPr>
        <w:t>;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 ou</w:t>
      </w:r>
    </w:p>
    <w:p w:rsidR="009C5E2C" w:rsidRPr="00300667" w:rsidRDefault="00246906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S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ofrer sanção prevista nos incisos III ou IV do </w:t>
      </w:r>
      <w:r w:rsidR="009C5E2C" w:rsidRPr="00300667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 do art. 156 da Leinº 14.133, de 2021.</w:t>
      </w:r>
    </w:p>
    <w:p w:rsidR="009C5E2C" w:rsidRPr="00300667" w:rsidRDefault="001335C3" w:rsidP="00717BD3">
      <w:pPr>
        <w:pStyle w:val="Nvel4"/>
        <w:tabs>
          <w:tab w:val="left" w:pos="851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Na hipótese de aplicação de sanção prevista nos incisos III ou IV do </w:t>
      </w:r>
      <w:r w:rsidRPr="00300667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300667">
        <w:rPr>
          <w:rFonts w:ascii="Times New Roman" w:hAnsi="Times New Roman" w:cs="Times New Roman"/>
          <w:sz w:val="24"/>
          <w:szCs w:val="24"/>
        </w:rPr>
        <w:t xml:space="preserve"> do art. 156 da Lei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>nº 14.133, de 2021</w:t>
      </w:r>
      <w:r w:rsidR="009C5E2C" w:rsidRPr="00300667">
        <w:rPr>
          <w:rFonts w:ascii="Times New Roman" w:hAnsi="Times New Roman" w:cs="Times New Roman"/>
          <w:sz w:val="24"/>
          <w:szCs w:val="24"/>
        </w:rPr>
        <w:t>, caso a penalidade aplicada ao fornecedor não ultrapass</w:t>
      </w:r>
      <w:r w:rsidRPr="00300667">
        <w:rPr>
          <w:rFonts w:ascii="Times New Roman" w:hAnsi="Times New Roman" w:cs="Times New Roman"/>
          <w:sz w:val="24"/>
          <w:szCs w:val="24"/>
        </w:rPr>
        <w:t>e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 o prazo de vigência 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reços, poderá o órgão ou </w:t>
      </w:r>
      <w:r w:rsidRPr="00300667">
        <w:rPr>
          <w:rFonts w:ascii="Times New Roman" w:hAnsi="Times New Roman" w:cs="Times New Roman"/>
          <w:sz w:val="24"/>
          <w:szCs w:val="24"/>
        </w:rPr>
        <w:t xml:space="preserve">a </w:t>
      </w:r>
      <w:r w:rsidR="009C5E2C" w:rsidRPr="00300667">
        <w:rPr>
          <w:rFonts w:ascii="Times New Roman" w:hAnsi="Times New Roman" w:cs="Times New Roman"/>
          <w:sz w:val="24"/>
          <w:szCs w:val="24"/>
        </w:rPr>
        <w:t>entidade gerenciadora, mediante decisão fundamentada, decidir pela manutenção do registro de preços, vedadas contratações derivadas da ata enquanto perdurarem os efeitos da sanção.</w:t>
      </w:r>
    </w:p>
    <w:p w:rsidR="009C5E2C" w:rsidRPr="00300667" w:rsidRDefault="009C5E2C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 O cancelamento de registros nas hipóteses previstas no item </w:t>
      </w:r>
      <w:fldSimple w:instr=" REF cancelamento_do_fornecedor \r \h  \* MERGEFORMAT ">
        <w:r w:rsidR="00E607DC" w:rsidRPr="00300667">
          <w:rPr>
            <w:rFonts w:ascii="Times New Roman" w:hAnsi="Times New Roman" w:cs="Times New Roman"/>
            <w:sz w:val="24"/>
            <w:szCs w:val="24"/>
          </w:rPr>
          <w:t>9.1</w:t>
        </w:r>
      </w:fldSimple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Pr="00300667">
        <w:rPr>
          <w:rFonts w:ascii="Times New Roman" w:hAnsi="Times New Roman" w:cs="Times New Roman"/>
          <w:sz w:val="24"/>
          <w:szCs w:val="24"/>
        </w:rPr>
        <w:t xml:space="preserve">será formalizado por despacho do órgão ou </w:t>
      </w:r>
      <w:r w:rsidR="001B7999" w:rsidRPr="00300667">
        <w:rPr>
          <w:rFonts w:ascii="Times New Roman" w:hAnsi="Times New Roman" w:cs="Times New Roman"/>
          <w:sz w:val="24"/>
          <w:szCs w:val="24"/>
        </w:rPr>
        <w:t xml:space="preserve">da </w:t>
      </w:r>
      <w:r w:rsidRPr="00300667">
        <w:rPr>
          <w:rFonts w:ascii="Times New Roman" w:hAnsi="Times New Roman" w:cs="Times New Roman"/>
          <w:sz w:val="24"/>
          <w:szCs w:val="24"/>
        </w:rPr>
        <w:t xml:space="preserve">entidade gerenciadora, </w:t>
      </w:r>
      <w:r w:rsidR="001262A7" w:rsidRPr="00300667">
        <w:rPr>
          <w:rFonts w:ascii="Times New Roman" w:hAnsi="Times New Roman" w:cs="Times New Roman"/>
          <w:sz w:val="24"/>
          <w:szCs w:val="24"/>
        </w:rPr>
        <w:t>garantidos os princípios d</w:t>
      </w:r>
      <w:r w:rsidRPr="00300667">
        <w:rPr>
          <w:rFonts w:ascii="Times New Roman" w:hAnsi="Times New Roman" w:cs="Times New Roman"/>
          <w:sz w:val="24"/>
          <w:szCs w:val="24"/>
        </w:rPr>
        <w:t xml:space="preserve">o contraditório e </w:t>
      </w:r>
      <w:r w:rsidR="001262A7" w:rsidRPr="00300667">
        <w:rPr>
          <w:rFonts w:ascii="Times New Roman" w:hAnsi="Times New Roman" w:cs="Times New Roman"/>
          <w:sz w:val="24"/>
          <w:szCs w:val="24"/>
        </w:rPr>
        <w:t>d</w:t>
      </w:r>
      <w:r w:rsidRPr="00300667">
        <w:rPr>
          <w:rFonts w:ascii="Times New Roman" w:hAnsi="Times New Roman" w:cs="Times New Roman"/>
          <w:sz w:val="24"/>
          <w:szCs w:val="24"/>
        </w:rPr>
        <w:t>a ampla defesa.</w:t>
      </w:r>
    </w:p>
    <w:p w:rsidR="001262A7" w:rsidRPr="00300667" w:rsidRDefault="0006159B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Na hipótese de cancelamento do registro do fornecedor, o órgão ou a entidade gerenciadora poderá convocar os licitantes que compõem o cadastro de reserva, observada a ordem de classificação.</w:t>
      </w:r>
    </w:p>
    <w:p w:rsidR="009C5E2C" w:rsidRPr="00300667" w:rsidRDefault="009C5E2C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O cancelamento dos preços registrados poderá </w:t>
      </w:r>
      <w:r w:rsidR="0006159B" w:rsidRPr="00300667">
        <w:rPr>
          <w:rFonts w:ascii="Times New Roman" w:hAnsi="Times New Roman" w:cs="Times New Roman"/>
          <w:sz w:val="24"/>
          <w:szCs w:val="24"/>
        </w:rPr>
        <w:t>ser realizado pelo gerenciador</w:t>
      </w:r>
      <w:r w:rsidRPr="00300667">
        <w:rPr>
          <w:rFonts w:ascii="Times New Roman" w:hAnsi="Times New Roman" w:cs="Times New Roman"/>
          <w:sz w:val="24"/>
          <w:szCs w:val="24"/>
        </w:rPr>
        <w:t xml:space="preserve">, em determinada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reços, total ou parcialmente,</w:t>
      </w:r>
      <w:r w:rsidR="00D14105" w:rsidRPr="00300667">
        <w:rPr>
          <w:rFonts w:ascii="Times New Roman" w:hAnsi="Times New Roman" w:cs="Times New Roman"/>
          <w:sz w:val="24"/>
          <w:szCs w:val="24"/>
        </w:rPr>
        <w:t xml:space="preserve"> nas seguintes hipóteses</w:t>
      </w:r>
      <w:r w:rsidRPr="00300667">
        <w:rPr>
          <w:rFonts w:ascii="Times New Roman" w:hAnsi="Times New Roman" w:cs="Times New Roman"/>
          <w:sz w:val="24"/>
          <w:szCs w:val="24"/>
        </w:rPr>
        <w:t>, desde que devidamente comprovad</w:t>
      </w:r>
      <w:r w:rsidR="00D14105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>s e justificad</w:t>
      </w:r>
      <w:r w:rsidR="00D14105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>s:</w:t>
      </w:r>
      <w:bookmarkStart w:id="12" w:name="cancelamento_da_ata"/>
      <w:bookmarkEnd w:id="12"/>
    </w:p>
    <w:p w:rsidR="009C5E2C" w:rsidRPr="00300667" w:rsidRDefault="00133C51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P</w:t>
      </w:r>
      <w:r w:rsidR="009C5E2C" w:rsidRPr="00300667">
        <w:rPr>
          <w:rFonts w:ascii="Times New Roman" w:hAnsi="Times New Roman" w:cs="Times New Roman"/>
          <w:sz w:val="24"/>
          <w:szCs w:val="24"/>
        </w:rPr>
        <w:t>or razão de interesse público;</w:t>
      </w:r>
    </w:p>
    <w:p w:rsidR="00ED3176" w:rsidRPr="00300667" w:rsidRDefault="00133C51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A</w:t>
      </w:r>
      <w:r w:rsidR="009C5E2C" w:rsidRPr="00300667">
        <w:rPr>
          <w:rFonts w:ascii="Times New Roman" w:hAnsi="Times New Roman" w:cs="Times New Roman"/>
          <w:sz w:val="24"/>
          <w:szCs w:val="24"/>
        </w:rPr>
        <w:t xml:space="preserve"> pedido do fornecedor, decorrente de caso fortuito ou força maior</w:t>
      </w:r>
      <w:r w:rsidR="00ED3176" w:rsidRPr="00300667">
        <w:rPr>
          <w:rFonts w:ascii="Times New Roman" w:hAnsi="Times New Roman" w:cs="Times New Roman"/>
          <w:sz w:val="24"/>
          <w:szCs w:val="24"/>
        </w:rPr>
        <w:t>; ou</w:t>
      </w:r>
    </w:p>
    <w:p w:rsidR="00784168" w:rsidRPr="00300667" w:rsidRDefault="00133C51" w:rsidP="00D5069B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S</w:t>
      </w:r>
      <w:r w:rsidR="00ED3176" w:rsidRPr="00300667">
        <w:rPr>
          <w:rFonts w:ascii="Times New Roman" w:hAnsi="Times New Roman" w:cs="Times New Roman"/>
          <w:sz w:val="24"/>
          <w:szCs w:val="24"/>
        </w:rPr>
        <w:t xml:space="preserve">e não houver êxito nas negociações, </w:t>
      </w:r>
      <w:r w:rsidR="00821F71" w:rsidRPr="00300667">
        <w:rPr>
          <w:rFonts w:ascii="Times New Roman" w:hAnsi="Times New Roman" w:cs="Times New Roman"/>
          <w:sz w:val="24"/>
          <w:szCs w:val="24"/>
        </w:rPr>
        <w:t>nas hipóteses em que o preço de mercado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C0558E" w:rsidRPr="00300667">
        <w:rPr>
          <w:rFonts w:ascii="Times New Roman" w:hAnsi="Times New Roman" w:cs="Times New Roman"/>
          <w:sz w:val="24"/>
          <w:szCs w:val="24"/>
        </w:rPr>
        <w:t>se tornar</w:t>
      </w:r>
      <w:r w:rsidR="00821F71" w:rsidRPr="00300667">
        <w:rPr>
          <w:rFonts w:ascii="Times New Roman" w:hAnsi="Times New Roman" w:cs="Times New Roman"/>
          <w:sz w:val="24"/>
          <w:szCs w:val="24"/>
        </w:rPr>
        <w:t xml:space="preserve"> superior ou inferior ao preço registrado</w:t>
      </w:r>
      <w:r w:rsidR="00AF2BFF" w:rsidRPr="00300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461" w:rsidRPr="00300667" w:rsidRDefault="00122461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DAS PENALIDADES</w:t>
      </w:r>
    </w:p>
    <w:p w:rsidR="00122461" w:rsidRPr="00300667" w:rsidRDefault="00122461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O descumprimento da Ata de Registro de Preços ensejará aplicação das penalidades estabelecidas </w:t>
      </w:r>
      <w:r w:rsidRPr="00300667">
        <w:rPr>
          <w:rFonts w:ascii="Times New Roman" w:hAnsi="Times New Roman" w:cs="Times New Roman"/>
          <w:iCs/>
          <w:sz w:val="24"/>
          <w:szCs w:val="24"/>
        </w:rPr>
        <w:t xml:space="preserve">no </w:t>
      </w:r>
      <w:r w:rsidR="00954341" w:rsidRPr="00300667">
        <w:rPr>
          <w:rFonts w:ascii="Times New Roman" w:hAnsi="Times New Roman" w:cs="Times New Roman"/>
          <w:iCs/>
          <w:sz w:val="24"/>
          <w:szCs w:val="24"/>
        </w:rPr>
        <w:t>e</w:t>
      </w:r>
      <w:r w:rsidRPr="00300667">
        <w:rPr>
          <w:rFonts w:ascii="Times New Roman" w:hAnsi="Times New Roman" w:cs="Times New Roman"/>
          <w:iCs/>
          <w:sz w:val="24"/>
          <w:szCs w:val="24"/>
        </w:rPr>
        <w:t>dital</w:t>
      </w:r>
      <w:r w:rsidR="00954341" w:rsidRPr="00300667">
        <w:rPr>
          <w:rFonts w:ascii="Times New Roman" w:hAnsi="Times New Roman" w:cs="Times New Roman"/>
          <w:iCs/>
          <w:sz w:val="24"/>
          <w:szCs w:val="24"/>
        </w:rPr>
        <w:t xml:space="preserve"> ou no aviso de contratação direta</w:t>
      </w:r>
      <w:r w:rsidRPr="00300667">
        <w:rPr>
          <w:rFonts w:ascii="Times New Roman" w:hAnsi="Times New Roman" w:cs="Times New Roman"/>
          <w:iCs/>
          <w:sz w:val="24"/>
          <w:szCs w:val="24"/>
        </w:rPr>
        <w:t>.</w:t>
      </w:r>
    </w:p>
    <w:p w:rsidR="001F6040" w:rsidRPr="00300667" w:rsidRDefault="001F6040" w:rsidP="00750EA5">
      <w:pPr>
        <w:pStyle w:val="Nvel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As sanções também se aplicam aos integrantes do cadastro de reserva </w:t>
      </w:r>
      <w:r w:rsidR="00F014F0" w:rsidRPr="00300667">
        <w:rPr>
          <w:rFonts w:ascii="Times New Roman" w:hAnsi="Times New Roman" w:cs="Times New Roman"/>
          <w:sz w:val="24"/>
          <w:szCs w:val="24"/>
        </w:rPr>
        <w:t>no</w:t>
      </w:r>
      <w:r w:rsidRPr="00300667">
        <w:rPr>
          <w:rFonts w:ascii="Times New Roman" w:hAnsi="Times New Roman" w:cs="Times New Roman"/>
          <w:sz w:val="24"/>
          <w:szCs w:val="24"/>
        </w:rPr>
        <w:t xml:space="preserve"> registro de preços que, convocados, não honrarem o compromisso assumido injustificadamente</w:t>
      </w:r>
      <w:r w:rsidR="00382C74" w:rsidRPr="00300667">
        <w:rPr>
          <w:rFonts w:ascii="Times New Roman" w:hAnsi="Times New Roman" w:cs="Times New Roman"/>
          <w:sz w:val="24"/>
          <w:szCs w:val="24"/>
        </w:rPr>
        <w:t xml:space="preserve"> após terem assinado a ata</w:t>
      </w:r>
      <w:r w:rsidRPr="003006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2461" w:rsidRPr="00300667" w:rsidRDefault="00122461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 xml:space="preserve">É da competência do gerenciador a aplicação das penalidades decorrentes do descumprimento do pactuado nesta </w:t>
      </w:r>
      <w:r w:rsidR="0004767F" w:rsidRPr="00300667">
        <w:rPr>
          <w:rFonts w:ascii="Times New Roman" w:hAnsi="Times New Roman" w:cs="Times New Roman"/>
          <w:sz w:val="24"/>
          <w:szCs w:val="24"/>
        </w:rPr>
        <w:t>A</w:t>
      </w:r>
      <w:r w:rsidRPr="00300667">
        <w:rPr>
          <w:rFonts w:ascii="Times New Roman" w:hAnsi="Times New Roman" w:cs="Times New Roman"/>
          <w:sz w:val="24"/>
          <w:szCs w:val="24"/>
        </w:rPr>
        <w:t xml:space="preserve">ta de </w:t>
      </w:r>
      <w:r w:rsidR="0004767F" w:rsidRPr="00300667">
        <w:rPr>
          <w:rFonts w:ascii="Times New Roman" w:hAnsi="Times New Roman" w:cs="Times New Roman"/>
          <w:sz w:val="24"/>
          <w:szCs w:val="24"/>
        </w:rPr>
        <w:t>R</w:t>
      </w:r>
      <w:r w:rsidRPr="00300667">
        <w:rPr>
          <w:rFonts w:ascii="Times New Roman" w:hAnsi="Times New Roman" w:cs="Times New Roman"/>
          <w:sz w:val="24"/>
          <w:szCs w:val="24"/>
        </w:rPr>
        <w:t xml:space="preserve">egistro de </w:t>
      </w:r>
      <w:r w:rsidR="0004767F" w:rsidRPr="00300667">
        <w:rPr>
          <w:rFonts w:ascii="Times New Roman" w:hAnsi="Times New Roman" w:cs="Times New Roman"/>
          <w:sz w:val="24"/>
          <w:szCs w:val="24"/>
        </w:rPr>
        <w:t>P</w:t>
      </w:r>
      <w:r w:rsidRPr="00300667">
        <w:rPr>
          <w:rFonts w:ascii="Times New Roman" w:hAnsi="Times New Roman" w:cs="Times New Roman"/>
          <w:sz w:val="24"/>
          <w:szCs w:val="24"/>
        </w:rPr>
        <w:t>reço, exceto nas hipóteses em que o descumprimento disser respeito às contratações dos órgãos</w:t>
      </w:r>
      <w:r w:rsidR="00C8173B">
        <w:rPr>
          <w:rFonts w:ascii="Times New Roman" w:hAnsi="Times New Roman" w:cs="Times New Roman"/>
          <w:sz w:val="24"/>
          <w:szCs w:val="24"/>
        </w:rPr>
        <w:t xml:space="preserve"> </w:t>
      </w:r>
      <w:r w:rsidR="009B6143" w:rsidRPr="00300667">
        <w:rPr>
          <w:rFonts w:ascii="Times New Roman" w:hAnsi="Times New Roman" w:cs="Times New Roman"/>
          <w:sz w:val="24"/>
          <w:szCs w:val="24"/>
        </w:rPr>
        <w:t>ou entidade</w:t>
      </w:r>
      <w:r w:rsidRPr="00300667">
        <w:rPr>
          <w:rFonts w:ascii="Times New Roman" w:hAnsi="Times New Roman" w:cs="Times New Roman"/>
          <w:sz w:val="24"/>
          <w:szCs w:val="24"/>
        </w:rPr>
        <w:t xml:space="preserve"> participante, caso no qual caberá ao respectivo órgão </w:t>
      </w:r>
      <w:r w:rsidR="00275C77" w:rsidRPr="00300667">
        <w:rPr>
          <w:rFonts w:ascii="Times New Roman" w:hAnsi="Times New Roman" w:cs="Times New Roman"/>
          <w:sz w:val="24"/>
          <w:szCs w:val="24"/>
        </w:rPr>
        <w:t xml:space="preserve">ou entidade </w:t>
      </w:r>
      <w:r w:rsidRPr="00300667">
        <w:rPr>
          <w:rFonts w:ascii="Times New Roman" w:hAnsi="Times New Roman" w:cs="Times New Roman"/>
          <w:sz w:val="24"/>
          <w:szCs w:val="24"/>
        </w:rPr>
        <w:t>participante a aplicação da penalidade.</w:t>
      </w:r>
    </w:p>
    <w:p w:rsidR="00784168" w:rsidRPr="00300667" w:rsidRDefault="00122461" w:rsidP="00D5069B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O órgão</w:t>
      </w:r>
      <w:r w:rsidR="00EF23FD">
        <w:rPr>
          <w:rFonts w:ascii="Times New Roman" w:hAnsi="Times New Roman" w:cs="Times New Roman"/>
          <w:sz w:val="24"/>
          <w:szCs w:val="24"/>
        </w:rPr>
        <w:t xml:space="preserve"> </w:t>
      </w:r>
      <w:r w:rsidR="009B6143" w:rsidRPr="00300667">
        <w:rPr>
          <w:rFonts w:ascii="Times New Roman" w:hAnsi="Times New Roman" w:cs="Times New Roman"/>
          <w:sz w:val="24"/>
          <w:szCs w:val="24"/>
        </w:rPr>
        <w:t>ou entidade</w:t>
      </w:r>
      <w:r w:rsidRPr="00300667">
        <w:rPr>
          <w:rFonts w:ascii="Times New Roman" w:hAnsi="Times New Roman" w:cs="Times New Roman"/>
          <w:sz w:val="24"/>
          <w:szCs w:val="24"/>
        </w:rPr>
        <w:t xml:space="preserve"> participante deverá comunicar ao órgão gerenciador qualquer das ocorrências previstas no </w:t>
      </w:r>
      <w:r w:rsidR="003E4109" w:rsidRPr="00300667">
        <w:rPr>
          <w:rFonts w:ascii="Times New Roman" w:hAnsi="Times New Roman" w:cs="Times New Roman"/>
          <w:sz w:val="24"/>
          <w:szCs w:val="24"/>
        </w:rPr>
        <w:t xml:space="preserve">item </w:t>
      </w:r>
      <w:r w:rsidR="006E1828" w:rsidRPr="00300667">
        <w:rPr>
          <w:rFonts w:ascii="Times New Roman" w:hAnsi="Times New Roman" w:cs="Times New Roman"/>
          <w:sz w:val="24"/>
          <w:szCs w:val="24"/>
        </w:rPr>
        <w:t>9</w:t>
      </w:r>
      <w:r w:rsidR="003E4109" w:rsidRPr="00300667">
        <w:rPr>
          <w:rFonts w:ascii="Times New Roman" w:hAnsi="Times New Roman" w:cs="Times New Roman"/>
          <w:sz w:val="24"/>
          <w:szCs w:val="24"/>
        </w:rPr>
        <w:t>.1</w:t>
      </w:r>
      <w:r w:rsidRPr="00300667">
        <w:rPr>
          <w:rFonts w:ascii="Times New Roman" w:hAnsi="Times New Roman" w:cs="Times New Roman"/>
          <w:sz w:val="24"/>
          <w:szCs w:val="24"/>
        </w:rPr>
        <w:t>, dada a necessidade de instauração de procedimento para cancelamento do registro do fornecedor.</w:t>
      </w:r>
    </w:p>
    <w:p w:rsidR="00CB46FC" w:rsidRPr="00300667" w:rsidRDefault="00CB46FC" w:rsidP="00750EA5">
      <w:pPr>
        <w:pStyle w:val="Nivel0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lastRenderedPageBreak/>
        <w:t>CONDIÇÕES GERAIS</w:t>
      </w:r>
    </w:p>
    <w:p w:rsidR="00C5111B" w:rsidRPr="00300667" w:rsidRDefault="00CB46FC" w:rsidP="00750EA5">
      <w:pPr>
        <w:pStyle w:val="Nivel2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As condições gerais d</w:t>
      </w:r>
      <w:r w:rsidR="004E56C4" w:rsidRPr="00300667">
        <w:rPr>
          <w:rFonts w:ascii="Times New Roman" w:hAnsi="Times New Roman" w:cs="Times New Roman"/>
          <w:sz w:val="24"/>
          <w:szCs w:val="24"/>
        </w:rPr>
        <w:t>e execução do objeto</w:t>
      </w:r>
      <w:r w:rsidRPr="00300667">
        <w:rPr>
          <w:rFonts w:ascii="Times New Roman" w:hAnsi="Times New Roman" w:cs="Times New Roman"/>
          <w:sz w:val="24"/>
          <w:szCs w:val="24"/>
        </w:rPr>
        <w:t>, tais como os prazos para entrega e recebimento, as obrigações da Administração e do fornecedor registrado, penalidades e demais condições do ajuste, encontram-se definidos no Termo de Referência</w:t>
      </w:r>
      <w:r w:rsidR="003A7990" w:rsidRPr="00300667">
        <w:rPr>
          <w:rFonts w:ascii="Times New Roman" w:hAnsi="Times New Roman" w:cs="Times New Roman"/>
          <w:sz w:val="24"/>
          <w:szCs w:val="24"/>
        </w:rPr>
        <w:t xml:space="preserve">, </w:t>
      </w:r>
      <w:r w:rsidR="00C0558E" w:rsidRPr="00300667">
        <w:rPr>
          <w:rFonts w:ascii="Times New Roman" w:hAnsi="Times New Roman" w:cs="Times New Roman"/>
          <w:sz w:val="24"/>
          <w:szCs w:val="24"/>
        </w:rPr>
        <w:t>anexo ao edital ou ao aviso de contratação direta</w:t>
      </w:r>
      <w:r w:rsidRPr="00300667">
        <w:rPr>
          <w:rFonts w:ascii="Times New Roman" w:hAnsi="Times New Roman" w:cs="Times New Roman"/>
          <w:sz w:val="24"/>
          <w:szCs w:val="24"/>
        </w:rPr>
        <w:t>.</w:t>
      </w:r>
    </w:p>
    <w:p w:rsidR="00784168" w:rsidRPr="00300667" w:rsidRDefault="00122461" w:rsidP="00D5069B">
      <w:pPr>
        <w:pStyle w:val="Nvel2-Red"/>
        <w:spacing w:line="240" w:lineRule="auto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3006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No caso de adjudicação por preço global de grupo de itens, só será admitida a contratação d</w:t>
      </w:r>
      <w:r w:rsidR="00A25880" w:rsidRPr="003006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</w:t>
      </w:r>
      <w:r w:rsidR="002B7483" w:rsidRPr="003006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parte de itens do grupo se houver </w:t>
      </w:r>
      <w:r w:rsidR="003E4109" w:rsidRPr="003006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prévia pesquisa de mercado e demonstração de sua vantagem para o órgão ou </w:t>
      </w:r>
      <w:r w:rsidR="0094339A" w:rsidRPr="003006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a </w:t>
      </w:r>
      <w:r w:rsidR="003E4109" w:rsidRPr="00300667"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>entidade.</w:t>
      </w:r>
    </w:p>
    <w:p w:rsidR="00CB46FC" w:rsidRPr="00300667" w:rsidRDefault="00CB46FC" w:rsidP="00750EA5">
      <w:pPr>
        <w:widowControl w:val="0"/>
        <w:autoSpaceDE w:val="0"/>
        <w:autoSpaceDN w:val="0"/>
        <w:adjustRightInd w:val="0"/>
        <w:spacing w:before="120" w:after="120"/>
        <w:ind w:firstLine="851"/>
        <w:jc w:val="both"/>
        <w:rPr>
          <w:rFonts w:ascii="Times New Roman" w:hAnsi="Times New Roman" w:cs="Times New Roman"/>
          <w:i/>
          <w:iCs/>
          <w:color w:val="FF0000"/>
        </w:rPr>
      </w:pPr>
      <w:r w:rsidRPr="00300667">
        <w:rPr>
          <w:rFonts w:ascii="Times New Roman" w:hAnsi="Times New Roman" w:cs="Times New Roman"/>
        </w:rPr>
        <w:t xml:space="preserve">Para firmeza e validade do pactuado, a presente Ata foi lavrada em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vias de igual teor, que, depois de lida e achada em ordem, vai assinada pel</w:t>
      </w:r>
      <w:r w:rsidR="00C0558E" w:rsidRPr="00300667">
        <w:rPr>
          <w:rFonts w:ascii="Times New Roman" w:hAnsi="Times New Roman" w:cs="Times New Roman"/>
        </w:rPr>
        <w:t xml:space="preserve">o órgão ou entidade gerenciadora e fornecedor(es) e </w:t>
      </w:r>
      <w:r w:rsidR="00C0558E" w:rsidRPr="00300667">
        <w:rPr>
          <w:rFonts w:ascii="Times New Roman" w:hAnsi="Times New Roman" w:cs="Times New Roman"/>
          <w:iCs/>
        </w:rPr>
        <w:t>encaminhada, por cópia, aos Órgãos Participantes.</w:t>
      </w:r>
    </w:p>
    <w:p w:rsidR="00C0558E" w:rsidRPr="00300667" w:rsidRDefault="00C0558E" w:rsidP="00C0558E">
      <w:pPr>
        <w:spacing w:before="120" w:after="120"/>
        <w:jc w:val="both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 xml:space="preserve">Maceió (AL), em </w:t>
      </w:r>
      <w:r w:rsidRPr="00300667">
        <w:rPr>
          <w:rFonts w:ascii="Times New Roman" w:hAnsi="Times New Roman" w:cs="Times New Roman"/>
          <w:color w:val="FF0000"/>
        </w:rPr>
        <w:t xml:space="preserve">(...) </w:t>
      </w:r>
      <w:r w:rsidRPr="00300667">
        <w:rPr>
          <w:rFonts w:ascii="Times New Roman" w:hAnsi="Times New Roman" w:cs="Times New Roman"/>
        </w:rPr>
        <w:t xml:space="preserve">de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 xml:space="preserve"> de </w:t>
      </w:r>
      <w:r w:rsidRPr="00300667">
        <w:rPr>
          <w:rFonts w:ascii="Times New Roman" w:hAnsi="Times New Roman" w:cs="Times New Roman"/>
          <w:color w:val="FF0000"/>
        </w:rPr>
        <w:t>(...)</w:t>
      </w:r>
      <w:r w:rsidRPr="00300667">
        <w:rPr>
          <w:rFonts w:ascii="Times New Roman" w:hAnsi="Times New Roman" w:cs="Times New Roman"/>
        </w:rPr>
        <w:t>.</w:t>
      </w:r>
    </w:p>
    <w:p w:rsidR="00C0558E" w:rsidRPr="00300667" w:rsidRDefault="00C0558E" w:rsidP="00C0558E">
      <w:pPr>
        <w:spacing w:after="120"/>
        <w:jc w:val="both"/>
        <w:rPr>
          <w:rFonts w:ascii="Times New Roman" w:hAnsi="Times New Roman" w:cs="Times New Roman"/>
          <w:bCs/>
        </w:rPr>
      </w:pP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___________________________________________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ÓRGÃO GERENCIADOR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___________________________________________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FORNECEDOR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___________________________________________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FORNECEDOR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___________________________________________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FORNECEDOR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___________________________________________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  <w:color w:val="FF0000"/>
        </w:rPr>
      </w:pPr>
      <w:r w:rsidRPr="00300667">
        <w:rPr>
          <w:rFonts w:ascii="Times New Roman" w:hAnsi="Times New Roman" w:cs="Times New Roman"/>
          <w:color w:val="FF0000"/>
        </w:rPr>
        <w:t>(...)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___________________________________________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TESTEMUNHA</w:t>
      </w:r>
      <w:r w:rsidRPr="00300667">
        <w:rPr>
          <w:rFonts w:ascii="Times New Roman" w:hAnsi="Times New Roman" w:cs="Times New Roman"/>
        </w:rPr>
        <w:tab/>
      </w:r>
      <w:r w:rsidRPr="00300667">
        <w:rPr>
          <w:rFonts w:ascii="Times New Roman" w:hAnsi="Times New Roman" w:cs="Times New Roman"/>
        </w:rPr>
        <w:tab/>
        <w:t>CPF Nº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___________________________________________</w:t>
      </w:r>
    </w:p>
    <w:p w:rsidR="00C0558E" w:rsidRPr="00300667" w:rsidRDefault="00C0558E" w:rsidP="00C0558E">
      <w:pPr>
        <w:spacing w:before="120" w:after="120"/>
        <w:rPr>
          <w:rFonts w:ascii="Times New Roman" w:hAnsi="Times New Roman" w:cs="Times New Roman"/>
        </w:rPr>
      </w:pPr>
      <w:r w:rsidRPr="00300667">
        <w:rPr>
          <w:rFonts w:ascii="Times New Roman" w:hAnsi="Times New Roman" w:cs="Times New Roman"/>
        </w:rPr>
        <w:t>TESTEMUNHA</w:t>
      </w:r>
      <w:r w:rsidRPr="00300667">
        <w:rPr>
          <w:rFonts w:ascii="Times New Roman" w:hAnsi="Times New Roman" w:cs="Times New Roman"/>
        </w:rPr>
        <w:tab/>
      </w:r>
      <w:r w:rsidRPr="00300667">
        <w:rPr>
          <w:rFonts w:ascii="Times New Roman" w:hAnsi="Times New Roman" w:cs="Times New Roman"/>
        </w:rPr>
        <w:tab/>
        <w:t>CPF Nº</w:t>
      </w:r>
    </w:p>
    <w:p w:rsidR="00EF48FC" w:rsidRPr="00300667" w:rsidRDefault="00EF48FC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EF48FC" w:rsidRPr="00300667" w:rsidRDefault="00EF48FC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EF48FC" w:rsidRPr="00300667" w:rsidRDefault="00EF48FC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C0558E" w:rsidRPr="00300667" w:rsidRDefault="00C0558E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C0558E" w:rsidRPr="00300667" w:rsidRDefault="00C0558E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C0558E" w:rsidRPr="00300667" w:rsidRDefault="00C0558E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EF48FC" w:rsidRPr="00300667" w:rsidRDefault="00C0558E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  <w:r w:rsidRPr="00300667">
        <w:rPr>
          <w:rFonts w:ascii="Times New Roman" w:hAnsi="Times New Roman" w:cs="Times New Roman"/>
          <w:color w:val="000000"/>
        </w:rPr>
        <w:lastRenderedPageBreak/>
        <w:t>ANEXO</w:t>
      </w:r>
    </w:p>
    <w:p w:rsidR="00C0558E" w:rsidRPr="00300667" w:rsidRDefault="00C36C9F" w:rsidP="00750EA5">
      <w:pPr>
        <w:pStyle w:val="Textodecoment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667">
        <w:rPr>
          <w:rFonts w:ascii="Times New Roman" w:hAnsi="Times New Roman" w:cs="Times New Roman"/>
          <w:b/>
          <w:sz w:val="24"/>
          <w:szCs w:val="24"/>
        </w:rPr>
        <w:t xml:space="preserve">Nota Explicativa: </w:t>
      </w:r>
    </w:p>
    <w:p w:rsidR="00C36C9F" w:rsidRPr="00300667" w:rsidRDefault="00C36C9F" w:rsidP="00750EA5">
      <w:pPr>
        <w:pStyle w:val="Textodecomentri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300667">
        <w:rPr>
          <w:rFonts w:ascii="Times New Roman" w:hAnsi="Times New Roman" w:cs="Times New Roman"/>
          <w:sz w:val="24"/>
          <w:szCs w:val="24"/>
        </w:rPr>
        <w:t>Caso haja previsão de preços diferentes conforme artigo 82, III, da Lei nº 14.133, de 2021, e artigo 15, III, da Lei nº 11.462, de 2023, deverá ser incluída tabela com os fornecedores e seus respectivos preços. Nesta</w:t>
      </w:r>
      <w:r w:rsidR="00C56F65" w:rsidRPr="00300667">
        <w:rPr>
          <w:rFonts w:ascii="Times New Roman" w:hAnsi="Times New Roman" w:cs="Times New Roman"/>
          <w:sz w:val="24"/>
          <w:szCs w:val="24"/>
        </w:rPr>
        <w:t>s</w:t>
      </w:r>
      <w:r w:rsidRPr="00300667">
        <w:rPr>
          <w:rFonts w:ascii="Times New Roman" w:hAnsi="Times New Roman" w:cs="Times New Roman"/>
          <w:sz w:val="24"/>
          <w:szCs w:val="24"/>
        </w:rPr>
        <w:t xml:space="preserve"> hipóteses, é provável que outras disposições deste modelo e dos demais modelos (edital, TR e contratos) também sofram alterações, cabendo ao órgão fazer as adequações devidas.</w:t>
      </w:r>
    </w:p>
    <w:p w:rsidR="00300667" w:rsidRPr="00300667" w:rsidRDefault="00300667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EF48FC" w:rsidRPr="00300667" w:rsidRDefault="00EF48FC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  <w:r w:rsidRPr="00300667">
        <w:rPr>
          <w:rFonts w:ascii="Times New Roman" w:hAnsi="Times New Roman" w:cs="Times New Roman"/>
          <w:color w:val="000000"/>
        </w:rPr>
        <w:t>Cadastro Reserva</w:t>
      </w:r>
    </w:p>
    <w:p w:rsidR="00300667" w:rsidRPr="00300667" w:rsidRDefault="00300667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EF48FC" w:rsidRPr="00300667" w:rsidRDefault="00506231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  <w:r w:rsidRPr="00300667">
        <w:rPr>
          <w:rFonts w:ascii="Times New Roman" w:hAnsi="Times New Roman" w:cs="Times New Roman"/>
          <w:color w:val="000000"/>
        </w:rPr>
        <w:t>Seguindo a ordem de classificação, segue r</w:t>
      </w:r>
      <w:r w:rsidR="00F45F42" w:rsidRPr="00300667">
        <w:rPr>
          <w:rFonts w:ascii="Times New Roman" w:hAnsi="Times New Roman" w:cs="Times New Roman"/>
          <w:color w:val="000000"/>
        </w:rPr>
        <w:t>elação de fornecedores que aceitaram cotar os itens com preços iguais ao adjudicatário</w:t>
      </w:r>
      <w:r w:rsidRPr="00300667">
        <w:rPr>
          <w:rFonts w:ascii="Times New Roman" w:hAnsi="Times New Roman" w:cs="Times New Roman"/>
          <w:color w:val="000000"/>
        </w:rPr>
        <w:t>:</w:t>
      </w:r>
    </w:p>
    <w:p w:rsidR="00300667" w:rsidRPr="00300667" w:rsidRDefault="00300667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tbl>
      <w:tblPr>
        <w:tblW w:w="85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993"/>
        <w:gridCol w:w="1134"/>
        <w:gridCol w:w="1134"/>
        <w:gridCol w:w="1559"/>
        <w:gridCol w:w="1417"/>
        <w:gridCol w:w="1134"/>
      </w:tblGrid>
      <w:tr w:rsidR="00300667" w:rsidRPr="00300667" w:rsidTr="0033163D">
        <w:trPr>
          <w:trHeight w:val="674"/>
        </w:trPr>
        <w:tc>
          <w:tcPr>
            <w:tcW w:w="8505" w:type="dxa"/>
            <w:gridSpan w:val="7"/>
            <w:vAlign w:val="center"/>
          </w:tcPr>
          <w:p w:rsidR="00300667" w:rsidRPr="00300667" w:rsidRDefault="00300667" w:rsidP="0033163D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Fornecedor: (...razão social, CNPJ/MF, endereço, contatos, representante...)</w:t>
            </w:r>
          </w:p>
        </w:tc>
      </w:tr>
      <w:tr w:rsidR="00300667" w:rsidRPr="00300667" w:rsidTr="0033163D">
        <w:trPr>
          <w:trHeight w:val="674"/>
        </w:trPr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Item</w:t>
            </w:r>
          </w:p>
        </w:tc>
        <w:tc>
          <w:tcPr>
            <w:tcW w:w="993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Unidade de Medida</w:t>
            </w:r>
          </w:p>
        </w:tc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Quantidade</w:t>
            </w:r>
          </w:p>
        </w:tc>
        <w:tc>
          <w:tcPr>
            <w:tcW w:w="1559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Valor (R$) ou Percentual de Desconto (%)</w:t>
            </w:r>
          </w:p>
        </w:tc>
        <w:tc>
          <w:tcPr>
            <w:tcW w:w="1417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Requisição Mínima</w:t>
            </w:r>
          </w:p>
        </w:tc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Requisição Máxima</w:t>
            </w:r>
          </w:p>
        </w:tc>
      </w:tr>
      <w:tr w:rsidR="00300667" w:rsidRPr="00300667" w:rsidTr="0033163D">
        <w:trPr>
          <w:trHeight w:val="174"/>
        </w:trPr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3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59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17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300667" w:rsidRPr="00300667" w:rsidTr="0033163D">
        <w:trPr>
          <w:trHeight w:val="174"/>
        </w:trPr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3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59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17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300667" w:rsidRPr="00300667" w:rsidRDefault="00300667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7B3400" w:rsidRPr="00300667" w:rsidRDefault="007B3400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  <w:r w:rsidRPr="00300667">
        <w:rPr>
          <w:rFonts w:ascii="Times New Roman" w:hAnsi="Times New Roman" w:cs="Times New Roman"/>
          <w:color w:val="000000"/>
        </w:rPr>
        <w:t xml:space="preserve">Seguindo a ordem de classificação, segue relação de fornecedores que </w:t>
      </w:r>
      <w:r w:rsidR="00175D81" w:rsidRPr="00300667">
        <w:rPr>
          <w:rFonts w:ascii="Times New Roman" w:hAnsi="Times New Roman" w:cs="Times New Roman"/>
          <w:color w:val="000000"/>
        </w:rPr>
        <w:t>mantiveram sua proposta original</w:t>
      </w:r>
      <w:r w:rsidRPr="00300667">
        <w:rPr>
          <w:rFonts w:ascii="Times New Roman" w:hAnsi="Times New Roman" w:cs="Times New Roman"/>
          <w:color w:val="000000"/>
        </w:rPr>
        <w:t>:</w:t>
      </w:r>
    </w:p>
    <w:tbl>
      <w:tblPr>
        <w:tblW w:w="850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993"/>
        <w:gridCol w:w="1134"/>
        <w:gridCol w:w="1134"/>
        <w:gridCol w:w="1559"/>
        <w:gridCol w:w="1417"/>
        <w:gridCol w:w="1134"/>
      </w:tblGrid>
      <w:tr w:rsidR="00300667" w:rsidRPr="00300667" w:rsidTr="0033163D">
        <w:trPr>
          <w:trHeight w:val="674"/>
        </w:trPr>
        <w:tc>
          <w:tcPr>
            <w:tcW w:w="8505" w:type="dxa"/>
            <w:gridSpan w:val="7"/>
            <w:vAlign w:val="center"/>
          </w:tcPr>
          <w:p w:rsidR="00300667" w:rsidRPr="00300667" w:rsidRDefault="00300667" w:rsidP="0033163D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Fornecedor: (...razão social, CNPJ/MF, endereço, contatos, representante...)</w:t>
            </w:r>
          </w:p>
        </w:tc>
      </w:tr>
      <w:tr w:rsidR="00300667" w:rsidRPr="00300667" w:rsidTr="0033163D">
        <w:trPr>
          <w:trHeight w:val="674"/>
        </w:trPr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Item</w:t>
            </w:r>
          </w:p>
        </w:tc>
        <w:tc>
          <w:tcPr>
            <w:tcW w:w="993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Descrição</w:t>
            </w:r>
          </w:p>
        </w:tc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Unidade de Medida</w:t>
            </w:r>
          </w:p>
        </w:tc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Quantidade</w:t>
            </w:r>
          </w:p>
        </w:tc>
        <w:tc>
          <w:tcPr>
            <w:tcW w:w="1559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iCs/>
                <w:color w:val="FF0000"/>
              </w:rPr>
              <w:t>Valor (R$) ou Percentual de Desconto (%)</w:t>
            </w:r>
          </w:p>
        </w:tc>
        <w:tc>
          <w:tcPr>
            <w:tcW w:w="1417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Requisição Mínima</w:t>
            </w:r>
          </w:p>
        </w:tc>
        <w:tc>
          <w:tcPr>
            <w:tcW w:w="1134" w:type="dxa"/>
            <w:vAlign w:val="center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Requisição Máxima</w:t>
            </w:r>
          </w:p>
        </w:tc>
      </w:tr>
      <w:tr w:rsidR="00300667" w:rsidRPr="00300667" w:rsidTr="0033163D">
        <w:trPr>
          <w:trHeight w:val="174"/>
        </w:trPr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3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59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17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300667" w:rsidRPr="00300667" w:rsidTr="0033163D">
        <w:trPr>
          <w:trHeight w:val="174"/>
        </w:trPr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993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559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17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134" w:type="dxa"/>
          </w:tcPr>
          <w:p w:rsidR="00300667" w:rsidRPr="00300667" w:rsidRDefault="00300667" w:rsidP="0033163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00667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300667" w:rsidRPr="00300667" w:rsidRDefault="00300667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p w:rsidR="007B3400" w:rsidRPr="00300667" w:rsidRDefault="007B3400" w:rsidP="00750EA5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color w:val="000000"/>
        </w:rPr>
      </w:pPr>
    </w:p>
    <w:sectPr w:rsidR="007B3400" w:rsidRPr="00300667" w:rsidSect="00F307E4">
      <w:headerReference w:type="default" r:id="rId11"/>
      <w:footerReference w:type="default" r:id="rId12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75B" w:rsidRDefault="0050775B" w:rsidP="00BB5309">
      <w:r>
        <w:separator/>
      </w:r>
    </w:p>
  </w:endnote>
  <w:endnote w:type="continuationSeparator" w:id="1">
    <w:p w:rsidR="0050775B" w:rsidRDefault="0050775B" w:rsidP="00BB5309">
      <w:r>
        <w:continuationSeparator/>
      </w:r>
    </w:p>
  </w:endnote>
  <w:endnote w:type="continuationNotice" w:id="2">
    <w:p w:rsidR="0050775B" w:rsidRDefault="005077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7439" w:rsidRPr="00887439" w:rsidRDefault="00887439">
    <w:pPr>
      <w:pStyle w:val="Rodap"/>
      <w:rPr>
        <w:rFonts w:ascii="Times New Roman" w:hAnsi="Times New Roman" w:cs="Times New Roman"/>
      </w:rPr>
    </w:pPr>
    <w:r w:rsidRPr="00887439">
      <w:rPr>
        <w:rFonts w:ascii="Times New Roman" w:hAnsi="Times New Roman" w:cs="Times New Roman"/>
      </w:rPr>
      <w:ptab w:relativeTo="margin" w:alignment="center" w:leader="none"/>
    </w:r>
    <w:r w:rsidRPr="00887439">
      <w:rPr>
        <w:rFonts w:ascii="Times New Roman" w:hAnsi="Times New Roman" w:cs="Times New Roman"/>
      </w:rPr>
      <w:ptab w:relativeTo="margin" w:alignment="right" w:leader="none"/>
    </w:r>
    <w:r w:rsidRPr="00887439">
      <w:rPr>
        <w:rFonts w:ascii="Times New Roman" w:hAnsi="Times New Roman" w:cs="Times New Roman"/>
      </w:rPr>
      <w:t>Ata de Registro de Preços - NLLC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75B" w:rsidRDefault="0050775B" w:rsidP="00BB5309">
      <w:r>
        <w:separator/>
      </w:r>
    </w:p>
  </w:footnote>
  <w:footnote w:type="continuationSeparator" w:id="1">
    <w:p w:rsidR="0050775B" w:rsidRDefault="0050775B" w:rsidP="00BB5309">
      <w:r>
        <w:continuationSeparator/>
      </w:r>
    </w:p>
  </w:footnote>
  <w:footnote w:type="continuationNotice" w:id="2">
    <w:p w:rsidR="0050775B" w:rsidRDefault="0050775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CD" w:rsidRPr="00BE2802" w:rsidRDefault="007A7FCD" w:rsidP="00C36C9F">
    <w:pPr>
      <w:pStyle w:val="Rodap"/>
      <w:tabs>
        <w:tab w:val="clear" w:pos="4252"/>
        <w:tab w:val="center" w:pos="0"/>
      </w:tabs>
      <w:jc w:val="center"/>
      <w:rPr>
        <w:rFonts w:ascii="Bookman Old Style" w:hAnsi="Bookman Old Style" w:cs="Arial"/>
        <w:sz w:val="16"/>
        <w:szCs w:val="16"/>
      </w:rPr>
    </w:pPr>
    <w:r w:rsidRPr="009842CC">
      <w:rPr>
        <w:rFonts w:ascii="Bookman Old Style" w:hAnsi="Bookman Old Style" w:cs="Arial"/>
        <w:b/>
        <w:color w:val="000000"/>
        <w:sz w:val="16"/>
        <w:szCs w:val="16"/>
      </w:rPr>
      <w:object w:dxaOrig="1395" w:dyaOrig="13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85pt;height:69.85pt" o:ole="" fillcolor="window">
          <v:imagedata r:id="rId1" o:title=""/>
        </v:shape>
        <o:OLEObject Type="Embed" ProgID="PBrush" ShapeID="_x0000_i1025" DrawAspect="Content" ObjectID="_1765357001" r:id="rId2"/>
      </w:object>
    </w:r>
  </w:p>
  <w:p w:rsidR="007A7FCD" w:rsidRPr="00943D82" w:rsidRDefault="007A7FCD" w:rsidP="00C36C9F">
    <w:pPr>
      <w:pStyle w:val="Cabealho"/>
      <w:tabs>
        <w:tab w:val="clear" w:pos="4252"/>
        <w:tab w:val="center" w:pos="0"/>
      </w:tabs>
      <w:jc w:val="center"/>
      <w:rPr>
        <w:rFonts w:ascii="Times New Roman" w:hAnsi="Times New Roman"/>
        <w:b/>
      </w:rPr>
    </w:pPr>
    <w:r w:rsidRPr="00943D82">
      <w:rPr>
        <w:rFonts w:ascii="Times New Roman" w:hAnsi="Times New Roman"/>
        <w:b/>
      </w:rPr>
      <w:t>ESTADO DE ALAGOAS</w:t>
    </w:r>
  </w:p>
  <w:p w:rsidR="007A7FCD" w:rsidRPr="00943D82" w:rsidRDefault="007A7FCD" w:rsidP="00C36C9F">
    <w:pPr>
      <w:pStyle w:val="Cabealho"/>
      <w:tabs>
        <w:tab w:val="clear" w:pos="4252"/>
        <w:tab w:val="center" w:pos="0"/>
      </w:tabs>
      <w:jc w:val="center"/>
      <w:rPr>
        <w:rFonts w:ascii="Times New Roman" w:hAnsi="Times New Roman"/>
        <w:b/>
      </w:rPr>
    </w:pPr>
    <w:r w:rsidRPr="00943D82">
      <w:rPr>
        <w:rFonts w:ascii="Times New Roman" w:hAnsi="Times New Roman"/>
        <w:b/>
      </w:rPr>
      <w:t>XXXXXXXXXXXXXXXXXXXXXXXXX</w:t>
    </w:r>
  </w:p>
  <w:p w:rsidR="007A7FCD" w:rsidRPr="00943D82" w:rsidRDefault="007A7FCD" w:rsidP="00C36C9F">
    <w:pPr>
      <w:pStyle w:val="Cabealho"/>
      <w:tabs>
        <w:tab w:val="clear" w:pos="4252"/>
        <w:tab w:val="center" w:pos="0"/>
      </w:tabs>
      <w:jc w:val="center"/>
      <w:rPr>
        <w:rFonts w:ascii="Times New Roman" w:hAnsi="Times New Roman"/>
        <w:b/>
      </w:rPr>
    </w:pPr>
    <w:r w:rsidRPr="00943D82">
      <w:rPr>
        <w:rFonts w:ascii="Times New Roman" w:hAnsi="Times New Roman"/>
        <w:b/>
      </w:rPr>
      <w:t>XXXXXXXXXXXXXXXXXXXXXXXXXXXXXXXXXXXXXXXX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640E0A"/>
    <w:multiLevelType w:val="hybridMultilevel"/>
    <w:tmpl w:val="7D3A97D0"/>
    <w:lvl w:ilvl="0" w:tplc="774E5494">
      <w:start w:val="1"/>
      <w:numFmt w:val="decimal"/>
      <w:lvlText w:val="4.%1."/>
      <w:lvlJc w:val="left"/>
      <w:pPr>
        <w:ind w:left="26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9" w:hanging="360"/>
      </w:pPr>
    </w:lvl>
    <w:lvl w:ilvl="2" w:tplc="0416001B" w:tentative="1">
      <w:start w:val="1"/>
      <w:numFmt w:val="lowerRoman"/>
      <w:lvlText w:val="%3."/>
      <w:lvlJc w:val="right"/>
      <w:pPr>
        <w:ind w:left="4069" w:hanging="180"/>
      </w:pPr>
    </w:lvl>
    <w:lvl w:ilvl="3" w:tplc="0416000F" w:tentative="1">
      <w:start w:val="1"/>
      <w:numFmt w:val="decimal"/>
      <w:lvlText w:val="%4."/>
      <w:lvlJc w:val="left"/>
      <w:pPr>
        <w:ind w:left="4789" w:hanging="360"/>
      </w:pPr>
    </w:lvl>
    <w:lvl w:ilvl="4" w:tplc="04160019" w:tentative="1">
      <w:start w:val="1"/>
      <w:numFmt w:val="lowerLetter"/>
      <w:lvlText w:val="%5."/>
      <w:lvlJc w:val="left"/>
      <w:pPr>
        <w:ind w:left="5509" w:hanging="360"/>
      </w:pPr>
    </w:lvl>
    <w:lvl w:ilvl="5" w:tplc="0416001B" w:tentative="1">
      <w:start w:val="1"/>
      <w:numFmt w:val="lowerRoman"/>
      <w:lvlText w:val="%6."/>
      <w:lvlJc w:val="right"/>
      <w:pPr>
        <w:ind w:left="6229" w:hanging="180"/>
      </w:pPr>
    </w:lvl>
    <w:lvl w:ilvl="6" w:tplc="0416000F" w:tentative="1">
      <w:start w:val="1"/>
      <w:numFmt w:val="decimal"/>
      <w:lvlText w:val="%7."/>
      <w:lvlJc w:val="left"/>
      <w:pPr>
        <w:ind w:left="6949" w:hanging="360"/>
      </w:pPr>
    </w:lvl>
    <w:lvl w:ilvl="7" w:tplc="04160019" w:tentative="1">
      <w:start w:val="1"/>
      <w:numFmt w:val="lowerLetter"/>
      <w:lvlText w:val="%8."/>
      <w:lvlJc w:val="left"/>
      <w:pPr>
        <w:ind w:left="7669" w:hanging="360"/>
      </w:pPr>
    </w:lvl>
    <w:lvl w:ilvl="8" w:tplc="0416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>
    <w:nsid w:val="0AB4406A"/>
    <w:multiLevelType w:val="multilevel"/>
    <w:tmpl w:val="622217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BE92B05"/>
    <w:multiLevelType w:val="hybridMultilevel"/>
    <w:tmpl w:val="F442113C"/>
    <w:lvl w:ilvl="0" w:tplc="665087FA">
      <w:start w:val="1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4">
    <w:nsid w:val="11983857"/>
    <w:multiLevelType w:val="multilevel"/>
    <w:tmpl w:val="0F7ECC8C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pStyle w:val="Nivel2"/>
      <w:lvlText w:val="%1.%2."/>
      <w:lvlJc w:val="left"/>
      <w:pPr>
        <w:ind w:left="1283" w:hanging="432"/>
      </w:pPr>
      <w:rPr>
        <w:color w:val="auto"/>
        <w:sz w:val="24"/>
        <w:szCs w:val="20"/>
      </w:rPr>
    </w:lvl>
    <w:lvl w:ilvl="2">
      <w:start w:val="1"/>
      <w:numFmt w:val="decimal"/>
      <w:pStyle w:val="Nvel3-R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pStyle w:val="Nvel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5C100D"/>
    <w:multiLevelType w:val="multilevel"/>
    <w:tmpl w:val="1F403BF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49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10D22FD"/>
    <w:multiLevelType w:val="multilevel"/>
    <w:tmpl w:val="FCE8DCD0"/>
    <w:lvl w:ilvl="0">
      <w:start w:val="4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444"/>
      </w:pPr>
      <w:rPr>
        <w:rFonts w:hint="default"/>
        <w:i w:val="0"/>
        <w:iCs/>
        <w:color w:val="auto"/>
      </w:rPr>
    </w:lvl>
    <w:lvl w:ilvl="2">
      <w:start w:val="3"/>
      <w:numFmt w:val="decimal"/>
      <w:lvlText w:val="%1.%2.%3"/>
      <w:lvlJc w:val="left"/>
      <w:pPr>
        <w:ind w:left="20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2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28" w:hanging="1800"/>
      </w:pPr>
      <w:rPr>
        <w:rFonts w:hint="default"/>
      </w:rPr>
    </w:lvl>
  </w:abstractNum>
  <w:abstractNum w:abstractNumId="7">
    <w:nsid w:val="3772508C"/>
    <w:multiLevelType w:val="hybridMultilevel"/>
    <w:tmpl w:val="BDC6C876"/>
    <w:lvl w:ilvl="0" w:tplc="7B4CA07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254BD5"/>
    <w:multiLevelType w:val="hybridMultilevel"/>
    <w:tmpl w:val="642EC646"/>
    <w:lvl w:ilvl="0" w:tplc="0416000F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51B52"/>
    <w:multiLevelType w:val="multilevel"/>
    <w:tmpl w:val="7E5A9EF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52" w:hanging="1800"/>
      </w:pPr>
      <w:rPr>
        <w:rFonts w:hint="default"/>
      </w:rPr>
    </w:lvl>
  </w:abstractNum>
  <w:abstractNum w:abstractNumId="10">
    <w:nsid w:val="7DE51E98"/>
    <w:multiLevelType w:val="multilevel"/>
    <w:tmpl w:val="84FC241A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CB46FC"/>
    <w:rsid w:val="00004ADD"/>
    <w:rsid w:val="0000620C"/>
    <w:rsid w:val="00006241"/>
    <w:rsid w:val="0001166A"/>
    <w:rsid w:val="00015512"/>
    <w:rsid w:val="00017BC2"/>
    <w:rsid w:val="0002269E"/>
    <w:rsid w:val="000233B1"/>
    <w:rsid w:val="000439CC"/>
    <w:rsid w:val="0004488F"/>
    <w:rsid w:val="0004767F"/>
    <w:rsid w:val="0005488C"/>
    <w:rsid w:val="000558FE"/>
    <w:rsid w:val="0006159B"/>
    <w:rsid w:val="00063172"/>
    <w:rsid w:val="00066588"/>
    <w:rsid w:val="00071D2C"/>
    <w:rsid w:val="0007424F"/>
    <w:rsid w:val="000814F3"/>
    <w:rsid w:val="00081CA0"/>
    <w:rsid w:val="00084F9F"/>
    <w:rsid w:val="00091113"/>
    <w:rsid w:val="0009741C"/>
    <w:rsid w:val="000A0473"/>
    <w:rsid w:val="000A295F"/>
    <w:rsid w:val="000A4CF7"/>
    <w:rsid w:val="000A58E2"/>
    <w:rsid w:val="000A5F80"/>
    <w:rsid w:val="000A6B33"/>
    <w:rsid w:val="000B1AEC"/>
    <w:rsid w:val="000B1E01"/>
    <w:rsid w:val="000B2C68"/>
    <w:rsid w:val="000B2EED"/>
    <w:rsid w:val="000B5FE7"/>
    <w:rsid w:val="000B7011"/>
    <w:rsid w:val="000C62A3"/>
    <w:rsid w:val="000D4F5C"/>
    <w:rsid w:val="000E2D96"/>
    <w:rsid w:val="000E53DF"/>
    <w:rsid w:val="000E55D0"/>
    <w:rsid w:val="000F1396"/>
    <w:rsid w:val="000F3685"/>
    <w:rsid w:val="000F4F59"/>
    <w:rsid w:val="0011246B"/>
    <w:rsid w:val="00113AE6"/>
    <w:rsid w:val="0011746B"/>
    <w:rsid w:val="00122461"/>
    <w:rsid w:val="00124FE3"/>
    <w:rsid w:val="001256C2"/>
    <w:rsid w:val="001262A7"/>
    <w:rsid w:val="001335C3"/>
    <w:rsid w:val="00133C51"/>
    <w:rsid w:val="00145619"/>
    <w:rsid w:val="0014613C"/>
    <w:rsid w:val="00146838"/>
    <w:rsid w:val="001551BF"/>
    <w:rsid w:val="00171379"/>
    <w:rsid w:val="00175233"/>
    <w:rsid w:val="00175D81"/>
    <w:rsid w:val="001770D2"/>
    <w:rsid w:val="00184497"/>
    <w:rsid w:val="001A4570"/>
    <w:rsid w:val="001B4451"/>
    <w:rsid w:val="001B668B"/>
    <w:rsid w:val="001B7999"/>
    <w:rsid w:val="001D6851"/>
    <w:rsid w:val="001D6F7A"/>
    <w:rsid w:val="001E0C73"/>
    <w:rsid w:val="001E0D7C"/>
    <w:rsid w:val="001E6EEF"/>
    <w:rsid w:val="001F52A4"/>
    <w:rsid w:val="001F5E08"/>
    <w:rsid w:val="001F6040"/>
    <w:rsid w:val="001F7C3E"/>
    <w:rsid w:val="002038C8"/>
    <w:rsid w:val="00210AA6"/>
    <w:rsid w:val="002220F5"/>
    <w:rsid w:val="00227D9C"/>
    <w:rsid w:val="00246906"/>
    <w:rsid w:val="00250091"/>
    <w:rsid w:val="00251798"/>
    <w:rsid w:val="00253324"/>
    <w:rsid w:val="00260A13"/>
    <w:rsid w:val="00275C77"/>
    <w:rsid w:val="00277151"/>
    <w:rsid w:val="002863E9"/>
    <w:rsid w:val="002921B5"/>
    <w:rsid w:val="00295F12"/>
    <w:rsid w:val="00297FB8"/>
    <w:rsid w:val="002A0CD0"/>
    <w:rsid w:val="002A1812"/>
    <w:rsid w:val="002A3BFA"/>
    <w:rsid w:val="002A6165"/>
    <w:rsid w:val="002B17AD"/>
    <w:rsid w:val="002B3CC9"/>
    <w:rsid w:val="002B3D1E"/>
    <w:rsid w:val="002B4BC4"/>
    <w:rsid w:val="002B66DE"/>
    <w:rsid w:val="002B6B17"/>
    <w:rsid w:val="002B7483"/>
    <w:rsid w:val="002C0964"/>
    <w:rsid w:val="002C26A9"/>
    <w:rsid w:val="002E2355"/>
    <w:rsid w:val="002E77E2"/>
    <w:rsid w:val="002F3DD6"/>
    <w:rsid w:val="002F4C05"/>
    <w:rsid w:val="002F5867"/>
    <w:rsid w:val="00300667"/>
    <w:rsid w:val="00305C64"/>
    <w:rsid w:val="00310A99"/>
    <w:rsid w:val="00314D1D"/>
    <w:rsid w:val="00315BFD"/>
    <w:rsid w:val="00315FF7"/>
    <w:rsid w:val="00320E03"/>
    <w:rsid w:val="00321B61"/>
    <w:rsid w:val="003240BD"/>
    <w:rsid w:val="00327A25"/>
    <w:rsid w:val="00346A9C"/>
    <w:rsid w:val="0038010D"/>
    <w:rsid w:val="00382C74"/>
    <w:rsid w:val="0038668D"/>
    <w:rsid w:val="00391422"/>
    <w:rsid w:val="00394561"/>
    <w:rsid w:val="00394E5B"/>
    <w:rsid w:val="003957E0"/>
    <w:rsid w:val="003A753F"/>
    <w:rsid w:val="003A7990"/>
    <w:rsid w:val="003B0C10"/>
    <w:rsid w:val="003B206A"/>
    <w:rsid w:val="003C1C28"/>
    <w:rsid w:val="003C22A8"/>
    <w:rsid w:val="003C2835"/>
    <w:rsid w:val="003C4966"/>
    <w:rsid w:val="003C49EC"/>
    <w:rsid w:val="003D0548"/>
    <w:rsid w:val="003D0779"/>
    <w:rsid w:val="003D0F2F"/>
    <w:rsid w:val="003D16C1"/>
    <w:rsid w:val="003D6F7D"/>
    <w:rsid w:val="003D7429"/>
    <w:rsid w:val="003E3F0B"/>
    <w:rsid w:val="003E4109"/>
    <w:rsid w:val="003E7EC4"/>
    <w:rsid w:val="003F48DF"/>
    <w:rsid w:val="003F6E02"/>
    <w:rsid w:val="004104C2"/>
    <w:rsid w:val="00410950"/>
    <w:rsid w:val="00414DE2"/>
    <w:rsid w:val="0042684A"/>
    <w:rsid w:val="00433744"/>
    <w:rsid w:val="004405E7"/>
    <w:rsid w:val="00454D50"/>
    <w:rsid w:val="00462922"/>
    <w:rsid w:val="0047752E"/>
    <w:rsid w:val="0048050E"/>
    <w:rsid w:val="004811E3"/>
    <w:rsid w:val="00484F4D"/>
    <w:rsid w:val="00490D27"/>
    <w:rsid w:val="00497049"/>
    <w:rsid w:val="004A1D37"/>
    <w:rsid w:val="004A391F"/>
    <w:rsid w:val="004A5577"/>
    <w:rsid w:val="004A5D41"/>
    <w:rsid w:val="004B3ABF"/>
    <w:rsid w:val="004B54E5"/>
    <w:rsid w:val="004B7789"/>
    <w:rsid w:val="004C14E4"/>
    <w:rsid w:val="004D0365"/>
    <w:rsid w:val="004E1B1F"/>
    <w:rsid w:val="004E29D0"/>
    <w:rsid w:val="004E56C4"/>
    <w:rsid w:val="004F4C4E"/>
    <w:rsid w:val="004F5350"/>
    <w:rsid w:val="00501D89"/>
    <w:rsid w:val="00502ACD"/>
    <w:rsid w:val="00506231"/>
    <w:rsid w:val="00506BFD"/>
    <w:rsid w:val="0050775B"/>
    <w:rsid w:val="005113BF"/>
    <w:rsid w:val="00511ED6"/>
    <w:rsid w:val="00520E7A"/>
    <w:rsid w:val="005441F9"/>
    <w:rsid w:val="005460E6"/>
    <w:rsid w:val="00546C1C"/>
    <w:rsid w:val="00546FAA"/>
    <w:rsid w:val="00547AF7"/>
    <w:rsid w:val="00562578"/>
    <w:rsid w:val="00564517"/>
    <w:rsid w:val="00575470"/>
    <w:rsid w:val="005803CB"/>
    <w:rsid w:val="00586901"/>
    <w:rsid w:val="00590DA7"/>
    <w:rsid w:val="0059391C"/>
    <w:rsid w:val="005A6E38"/>
    <w:rsid w:val="005B2F3B"/>
    <w:rsid w:val="005C11E8"/>
    <w:rsid w:val="005C3C43"/>
    <w:rsid w:val="005C526F"/>
    <w:rsid w:val="005D6F0C"/>
    <w:rsid w:val="005F0E5A"/>
    <w:rsid w:val="005F295F"/>
    <w:rsid w:val="005F6486"/>
    <w:rsid w:val="0060348D"/>
    <w:rsid w:val="00603634"/>
    <w:rsid w:val="00605B9F"/>
    <w:rsid w:val="006063A3"/>
    <w:rsid w:val="0062258C"/>
    <w:rsid w:val="0062376C"/>
    <w:rsid w:val="00624537"/>
    <w:rsid w:val="00626FAA"/>
    <w:rsid w:val="00630A10"/>
    <w:rsid w:val="00631E43"/>
    <w:rsid w:val="00632B8C"/>
    <w:rsid w:val="00636001"/>
    <w:rsid w:val="006362AE"/>
    <w:rsid w:val="006415B5"/>
    <w:rsid w:val="00641AEE"/>
    <w:rsid w:val="00646738"/>
    <w:rsid w:val="006468EA"/>
    <w:rsid w:val="00657E73"/>
    <w:rsid w:val="006610CA"/>
    <w:rsid w:val="006612B2"/>
    <w:rsid w:val="0066278D"/>
    <w:rsid w:val="00666393"/>
    <w:rsid w:val="00666FEB"/>
    <w:rsid w:val="0066751B"/>
    <w:rsid w:val="00673105"/>
    <w:rsid w:val="00674838"/>
    <w:rsid w:val="00675F59"/>
    <w:rsid w:val="0068120E"/>
    <w:rsid w:val="00681E19"/>
    <w:rsid w:val="0069006D"/>
    <w:rsid w:val="00695BA0"/>
    <w:rsid w:val="006A5244"/>
    <w:rsid w:val="006A7A1A"/>
    <w:rsid w:val="006B7C24"/>
    <w:rsid w:val="006C3A88"/>
    <w:rsid w:val="006C42DC"/>
    <w:rsid w:val="006D2937"/>
    <w:rsid w:val="006D4D8C"/>
    <w:rsid w:val="006D4E31"/>
    <w:rsid w:val="006E1828"/>
    <w:rsid w:val="006E4F16"/>
    <w:rsid w:val="006F4AD1"/>
    <w:rsid w:val="006F5010"/>
    <w:rsid w:val="00700A54"/>
    <w:rsid w:val="00703FD0"/>
    <w:rsid w:val="007104AA"/>
    <w:rsid w:val="0071081A"/>
    <w:rsid w:val="00716FC7"/>
    <w:rsid w:val="00717BD3"/>
    <w:rsid w:val="0072377B"/>
    <w:rsid w:val="00725387"/>
    <w:rsid w:val="00731D8E"/>
    <w:rsid w:val="00733E8B"/>
    <w:rsid w:val="00734ADF"/>
    <w:rsid w:val="00736DA7"/>
    <w:rsid w:val="00750EA5"/>
    <w:rsid w:val="0075324E"/>
    <w:rsid w:val="0075420C"/>
    <w:rsid w:val="007602F7"/>
    <w:rsid w:val="00767880"/>
    <w:rsid w:val="0077015C"/>
    <w:rsid w:val="00784168"/>
    <w:rsid w:val="00784E3B"/>
    <w:rsid w:val="007925FC"/>
    <w:rsid w:val="007A4966"/>
    <w:rsid w:val="007A7FCD"/>
    <w:rsid w:val="007B150D"/>
    <w:rsid w:val="007B2846"/>
    <w:rsid w:val="007B3400"/>
    <w:rsid w:val="007B3995"/>
    <w:rsid w:val="007B596E"/>
    <w:rsid w:val="007C2805"/>
    <w:rsid w:val="007C6563"/>
    <w:rsid w:val="007C6E51"/>
    <w:rsid w:val="007D4B25"/>
    <w:rsid w:val="007E381F"/>
    <w:rsid w:val="007F633D"/>
    <w:rsid w:val="00801DAC"/>
    <w:rsid w:val="00802289"/>
    <w:rsid w:val="008043C4"/>
    <w:rsid w:val="0081037F"/>
    <w:rsid w:val="00811D42"/>
    <w:rsid w:val="0081278D"/>
    <w:rsid w:val="00815EE5"/>
    <w:rsid w:val="008166F1"/>
    <w:rsid w:val="00821F71"/>
    <w:rsid w:val="00822079"/>
    <w:rsid w:val="00825FDD"/>
    <w:rsid w:val="00833C36"/>
    <w:rsid w:val="00834DD2"/>
    <w:rsid w:val="0084417D"/>
    <w:rsid w:val="00851AEB"/>
    <w:rsid w:val="00866CC7"/>
    <w:rsid w:val="00870788"/>
    <w:rsid w:val="00870EBB"/>
    <w:rsid w:val="00882690"/>
    <w:rsid w:val="00884A85"/>
    <w:rsid w:val="00887439"/>
    <w:rsid w:val="00890185"/>
    <w:rsid w:val="00890709"/>
    <w:rsid w:val="00893488"/>
    <w:rsid w:val="00893D82"/>
    <w:rsid w:val="00894D94"/>
    <w:rsid w:val="00897794"/>
    <w:rsid w:val="008A077D"/>
    <w:rsid w:val="008A6510"/>
    <w:rsid w:val="008B571E"/>
    <w:rsid w:val="008C0DC1"/>
    <w:rsid w:val="008C1702"/>
    <w:rsid w:val="008C274B"/>
    <w:rsid w:val="008D1157"/>
    <w:rsid w:val="008D257D"/>
    <w:rsid w:val="008E1884"/>
    <w:rsid w:val="008E440E"/>
    <w:rsid w:val="008F076A"/>
    <w:rsid w:val="008F6BA6"/>
    <w:rsid w:val="0090157C"/>
    <w:rsid w:val="00907E5C"/>
    <w:rsid w:val="00910DBE"/>
    <w:rsid w:val="00922EEE"/>
    <w:rsid w:val="00925FB8"/>
    <w:rsid w:val="00931989"/>
    <w:rsid w:val="0094339A"/>
    <w:rsid w:val="00943891"/>
    <w:rsid w:val="009538D2"/>
    <w:rsid w:val="00954341"/>
    <w:rsid w:val="0095745C"/>
    <w:rsid w:val="0096123D"/>
    <w:rsid w:val="00966BB7"/>
    <w:rsid w:val="009706ED"/>
    <w:rsid w:val="0097155D"/>
    <w:rsid w:val="00972386"/>
    <w:rsid w:val="0097278B"/>
    <w:rsid w:val="009752D5"/>
    <w:rsid w:val="00976D88"/>
    <w:rsid w:val="009773EA"/>
    <w:rsid w:val="00982132"/>
    <w:rsid w:val="009832AD"/>
    <w:rsid w:val="0098354B"/>
    <w:rsid w:val="0099111B"/>
    <w:rsid w:val="00992BB5"/>
    <w:rsid w:val="00995EE3"/>
    <w:rsid w:val="009B6143"/>
    <w:rsid w:val="009C0A6B"/>
    <w:rsid w:val="009C5E2C"/>
    <w:rsid w:val="009C76A5"/>
    <w:rsid w:val="009C7812"/>
    <w:rsid w:val="009C7A60"/>
    <w:rsid w:val="009D3DB6"/>
    <w:rsid w:val="009D6CCC"/>
    <w:rsid w:val="009E0C3C"/>
    <w:rsid w:val="009E4099"/>
    <w:rsid w:val="009E58D2"/>
    <w:rsid w:val="009F0D53"/>
    <w:rsid w:val="009F34AB"/>
    <w:rsid w:val="009F527E"/>
    <w:rsid w:val="00A1191B"/>
    <w:rsid w:val="00A13386"/>
    <w:rsid w:val="00A14006"/>
    <w:rsid w:val="00A2090C"/>
    <w:rsid w:val="00A241EC"/>
    <w:rsid w:val="00A25880"/>
    <w:rsid w:val="00A25D1D"/>
    <w:rsid w:val="00A31D23"/>
    <w:rsid w:val="00A43047"/>
    <w:rsid w:val="00A45D50"/>
    <w:rsid w:val="00A5121D"/>
    <w:rsid w:val="00A527BD"/>
    <w:rsid w:val="00A55054"/>
    <w:rsid w:val="00A57128"/>
    <w:rsid w:val="00A57D0E"/>
    <w:rsid w:val="00A606C3"/>
    <w:rsid w:val="00A70AA5"/>
    <w:rsid w:val="00A77E87"/>
    <w:rsid w:val="00A83E10"/>
    <w:rsid w:val="00A84930"/>
    <w:rsid w:val="00A907B5"/>
    <w:rsid w:val="00A97871"/>
    <w:rsid w:val="00A97F9D"/>
    <w:rsid w:val="00AA1D45"/>
    <w:rsid w:val="00AA3CAB"/>
    <w:rsid w:val="00AA4D59"/>
    <w:rsid w:val="00AB0846"/>
    <w:rsid w:val="00AC69D4"/>
    <w:rsid w:val="00AD1FC3"/>
    <w:rsid w:val="00AD2325"/>
    <w:rsid w:val="00AD5AC5"/>
    <w:rsid w:val="00AE076C"/>
    <w:rsid w:val="00AF11DA"/>
    <w:rsid w:val="00AF2BFF"/>
    <w:rsid w:val="00B05AF8"/>
    <w:rsid w:val="00B064D8"/>
    <w:rsid w:val="00B0678A"/>
    <w:rsid w:val="00B10156"/>
    <w:rsid w:val="00B11CFD"/>
    <w:rsid w:val="00B15B12"/>
    <w:rsid w:val="00B16A5B"/>
    <w:rsid w:val="00B16E35"/>
    <w:rsid w:val="00B22440"/>
    <w:rsid w:val="00B234D0"/>
    <w:rsid w:val="00B30F9F"/>
    <w:rsid w:val="00B337B5"/>
    <w:rsid w:val="00B35C29"/>
    <w:rsid w:val="00B438A7"/>
    <w:rsid w:val="00B4636C"/>
    <w:rsid w:val="00B46698"/>
    <w:rsid w:val="00B510C6"/>
    <w:rsid w:val="00B5540B"/>
    <w:rsid w:val="00B63412"/>
    <w:rsid w:val="00B63622"/>
    <w:rsid w:val="00B7252A"/>
    <w:rsid w:val="00B73903"/>
    <w:rsid w:val="00B73D61"/>
    <w:rsid w:val="00B73E47"/>
    <w:rsid w:val="00B829AB"/>
    <w:rsid w:val="00B85E10"/>
    <w:rsid w:val="00B86157"/>
    <w:rsid w:val="00B865F5"/>
    <w:rsid w:val="00B92BCC"/>
    <w:rsid w:val="00B93B54"/>
    <w:rsid w:val="00B94E10"/>
    <w:rsid w:val="00BA47CD"/>
    <w:rsid w:val="00BB5309"/>
    <w:rsid w:val="00BB7895"/>
    <w:rsid w:val="00BC690B"/>
    <w:rsid w:val="00BC6F6E"/>
    <w:rsid w:val="00BE0ED4"/>
    <w:rsid w:val="00BE1F06"/>
    <w:rsid w:val="00BE3CEE"/>
    <w:rsid w:val="00BE513B"/>
    <w:rsid w:val="00BE5F80"/>
    <w:rsid w:val="00BE6356"/>
    <w:rsid w:val="00BE6EA8"/>
    <w:rsid w:val="00BF323F"/>
    <w:rsid w:val="00BF48C7"/>
    <w:rsid w:val="00C017AF"/>
    <w:rsid w:val="00C05076"/>
    <w:rsid w:val="00C0558E"/>
    <w:rsid w:val="00C07B9D"/>
    <w:rsid w:val="00C1232D"/>
    <w:rsid w:val="00C12E5F"/>
    <w:rsid w:val="00C14768"/>
    <w:rsid w:val="00C159F6"/>
    <w:rsid w:val="00C2136E"/>
    <w:rsid w:val="00C24103"/>
    <w:rsid w:val="00C36C9F"/>
    <w:rsid w:val="00C44D47"/>
    <w:rsid w:val="00C47DB0"/>
    <w:rsid w:val="00C507A4"/>
    <w:rsid w:val="00C5111B"/>
    <w:rsid w:val="00C56ABC"/>
    <w:rsid w:val="00C56F65"/>
    <w:rsid w:val="00C61DAF"/>
    <w:rsid w:val="00C63E3D"/>
    <w:rsid w:val="00C65004"/>
    <w:rsid w:val="00C74737"/>
    <w:rsid w:val="00C7618D"/>
    <w:rsid w:val="00C7693F"/>
    <w:rsid w:val="00C8173B"/>
    <w:rsid w:val="00C82CB6"/>
    <w:rsid w:val="00C83422"/>
    <w:rsid w:val="00C86CD7"/>
    <w:rsid w:val="00C949D9"/>
    <w:rsid w:val="00C97B29"/>
    <w:rsid w:val="00CB3602"/>
    <w:rsid w:val="00CB3B1F"/>
    <w:rsid w:val="00CB46FC"/>
    <w:rsid w:val="00CB63DE"/>
    <w:rsid w:val="00CC6D67"/>
    <w:rsid w:val="00CC6EE8"/>
    <w:rsid w:val="00CF4619"/>
    <w:rsid w:val="00D00F43"/>
    <w:rsid w:val="00D022C3"/>
    <w:rsid w:val="00D10B9F"/>
    <w:rsid w:val="00D11476"/>
    <w:rsid w:val="00D117B5"/>
    <w:rsid w:val="00D13B70"/>
    <w:rsid w:val="00D14105"/>
    <w:rsid w:val="00D1456C"/>
    <w:rsid w:val="00D17BE6"/>
    <w:rsid w:val="00D4329D"/>
    <w:rsid w:val="00D44329"/>
    <w:rsid w:val="00D44FA4"/>
    <w:rsid w:val="00D456B1"/>
    <w:rsid w:val="00D45D6B"/>
    <w:rsid w:val="00D5069B"/>
    <w:rsid w:val="00D50B23"/>
    <w:rsid w:val="00D5101F"/>
    <w:rsid w:val="00D512DC"/>
    <w:rsid w:val="00D52599"/>
    <w:rsid w:val="00D52993"/>
    <w:rsid w:val="00D60FAE"/>
    <w:rsid w:val="00D6305E"/>
    <w:rsid w:val="00D63A70"/>
    <w:rsid w:val="00D66100"/>
    <w:rsid w:val="00D72EE3"/>
    <w:rsid w:val="00D73226"/>
    <w:rsid w:val="00D75EDD"/>
    <w:rsid w:val="00D8054F"/>
    <w:rsid w:val="00D82B47"/>
    <w:rsid w:val="00D82CD7"/>
    <w:rsid w:val="00D85ACD"/>
    <w:rsid w:val="00D90740"/>
    <w:rsid w:val="00D93BBF"/>
    <w:rsid w:val="00D94DA3"/>
    <w:rsid w:val="00D96A54"/>
    <w:rsid w:val="00DA45E5"/>
    <w:rsid w:val="00DB6DA9"/>
    <w:rsid w:val="00DC1B9F"/>
    <w:rsid w:val="00DC4FC8"/>
    <w:rsid w:val="00DD5FF3"/>
    <w:rsid w:val="00DE2EA6"/>
    <w:rsid w:val="00DE6C20"/>
    <w:rsid w:val="00DF4FD2"/>
    <w:rsid w:val="00DF61B6"/>
    <w:rsid w:val="00E028EF"/>
    <w:rsid w:val="00E11D1B"/>
    <w:rsid w:val="00E11D5F"/>
    <w:rsid w:val="00E23556"/>
    <w:rsid w:val="00E23EFF"/>
    <w:rsid w:val="00E274E3"/>
    <w:rsid w:val="00E337AE"/>
    <w:rsid w:val="00E35C20"/>
    <w:rsid w:val="00E46CE5"/>
    <w:rsid w:val="00E5794B"/>
    <w:rsid w:val="00E60459"/>
    <w:rsid w:val="00E607DC"/>
    <w:rsid w:val="00E60AC2"/>
    <w:rsid w:val="00E625B3"/>
    <w:rsid w:val="00E70C1E"/>
    <w:rsid w:val="00E8683B"/>
    <w:rsid w:val="00E90D8C"/>
    <w:rsid w:val="00EA0EE1"/>
    <w:rsid w:val="00EA2ED3"/>
    <w:rsid w:val="00EB3B67"/>
    <w:rsid w:val="00EB4B4C"/>
    <w:rsid w:val="00EC0980"/>
    <w:rsid w:val="00EC3A79"/>
    <w:rsid w:val="00EC52C9"/>
    <w:rsid w:val="00ED17E8"/>
    <w:rsid w:val="00ED3176"/>
    <w:rsid w:val="00ED37CB"/>
    <w:rsid w:val="00EE72CE"/>
    <w:rsid w:val="00EF23FD"/>
    <w:rsid w:val="00EF3535"/>
    <w:rsid w:val="00EF3DA5"/>
    <w:rsid w:val="00EF48FC"/>
    <w:rsid w:val="00EF4F82"/>
    <w:rsid w:val="00F014F0"/>
    <w:rsid w:val="00F11497"/>
    <w:rsid w:val="00F11C4D"/>
    <w:rsid w:val="00F12A31"/>
    <w:rsid w:val="00F16593"/>
    <w:rsid w:val="00F17655"/>
    <w:rsid w:val="00F2788D"/>
    <w:rsid w:val="00F307E4"/>
    <w:rsid w:val="00F3259D"/>
    <w:rsid w:val="00F34F83"/>
    <w:rsid w:val="00F35BD7"/>
    <w:rsid w:val="00F404B0"/>
    <w:rsid w:val="00F453F5"/>
    <w:rsid w:val="00F45F42"/>
    <w:rsid w:val="00F610E7"/>
    <w:rsid w:val="00F6129D"/>
    <w:rsid w:val="00F621CD"/>
    <w:rsid w:val="00F63392"/>
    <w:rsid w:val="00F72BAA"/>
    <w:rsid w:val="00F77F32"/>
    <w:rsid w:val="00F86C25"/>
    <w:rsid w:val="00F949DC"/>
    <w:rsid w:val="00F95F17"/>
    <w:rsid w:val="00F97789"/>
    <w:rsid w:val="00FB41A6"/>
    <w:rsid w:val="00FB57EF"/>
    <w:rsid w:val="00FB5AAA"/>
    <w:rsid w:val="00FB6A43"/>
    <w:rsid w:val="00FC6C7F"/>
    <w:rsid w:val="00FC7DAC"/>
    <w:rsid w:val="00FD040B"/>
    <w:rsid w:val="00FD3933"/>
    <w:rsid w:val="00FD7CFF"/>
    <w:rsid w:val="00FE4B87"/>
    <w:rsid w:val="00FE53B6"/>
    <w:rsid w:val="00FE5714"/>
    <w:rsid w:val="00FE5C12"/>
    <w:rsid w:val="00FE608F"/>
    <w:rsid w:val="00FE659B"/>
    <w:rsid w:val="00FE6646"/>
    <w:rsid w:val="00FF0A80"/>
    <w:rsid w:val="13938DA0"/>
    <w:rsid w:val="184DD666"/>
    <w:rsid w:val="1E2E32D9"/>
    <w:rsid w:val="241F1A22"/>
    <w:rsid w:val="32B05F46"/>
    <w:rsid w:val="348C9DA7"/>
    <w:rsid w:val="36F72004"/>
    <w:rsid w:val="3CAD6F35"/>
    <w:rsid w:val="3FF16CE8"/>
    <w:rsid w:val="45D034C9"/>
    <w:rsid w:val="4CDDC88E"/>
    <w:rsid w:val="4D7636F6"/>
    <w:rsid w:val="58E0E03C"/>
    <w:rsid w:val="5EBCF017"/>
    <w:rsid w:val="6D491066"/>
    <w:rsid w:val="7B9D9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customStyle="1" w:styleId="Nivel01">
    <w:name w:val="Nivel 01"/>
    <w:basedOn w:val="Ttulo1"/>
    <w:next w:val="Normal"/>
    <w:link w:val="Nivel01Char"/>
    <w:qFormat/>
    <w:rsid w:val="00636001"/>
    <w:pPr>
      <w:numPr>
        <w:numId w:val="1"/>
      </w:numPr>
      <w:tabs>
        <w:tab w:val="left" w:pos="567"/>
      </w:tabs>
      <w:spacing w:before="120" w:after="120" w:line="276" w:lineRule="auto"/>
      <w:ind w:left="0" w:firstLine="0"/>
      <w:jc w:val="both"/>
    </w:pPr>
    <w:rPr>
      <w:rFonts w:ascii="Arial" w:hAnsi="Arial" w:cs="Arial"/>
      <w:color w:val="auto"/>
      <w:sz w:val="20"/>
      <w:szCs w:val="20"/>
      <w:lang w:eastAsia="en-US"/>
    </w:rPr>
  </w:style>
  <w:style w:type="character" w:styleId="Refdecomentrio">
    <w:name w:val="annotation reference"/>
    <w:basedOn w:val="Fontepargpadro"/>
    <w:semiHidden/>
    <w:unhideWhenUsed/>
    <w:rsid w:val="006A7A1A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A7A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A7A1A"/>
    <w:rPr>
      <w:rFonts w:ascii="Ecofont_Spranq_eco_Sans" w:hAnsi="Ecofont_Spranq_eco_Sans" w:cs="Tahoma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6A7A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6A7A1A"/>
    <w:rPr>
      <w:rFonts w:ascii="Ecofont_Spranq_eco_Sans" w:hAnsi="Ecofont_Spranq_eco_Sans" w:cs="Tahoma"/>
      <w:b/>
      <w:bCs/>
    </w:rPr>
  </w:style>
  <w:style w:type="paragraph" w:styleId="Textodebalo">
    <w:name w:val="Balloon Text"/>
    <w:basedOn w:val="Normal"/>
    <w:link w:val="TextodebaloChar"/>
    <w:semiHidden/>
    <w:unhideWhenUsed/>
    <w:rsid w:val="006A7A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A7A1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586901"/>
    <w:rPr>
      <w:rFonts w:ascii="Ecofont_Spranq_eco_Sans" w:hAnsi="Ecofont_Spranq_eco_Sans" w:cs="Tahoma"/>
      <w:sz w:val="24"/>
      <w:szCs w:val="24"/>
    </w:rPr>
  </w:style>
  <w:style w:type="character" w:customStyle="1" w:styleId="Nivel01Char">
    <w:name w:val="Nivel 01 Char"/>
    <w:basedOn w:val="Fontepargpadro"/>
    <w:link w:val="Nivel01"/>
    <w:rsid w:val="00636001"/>
    <w:rPr>
      <w:rFonts w:ascii="Arial" w:eastAsiaTheme="majorEastAsia" w:hAnsi="Arial" w:cs="Arial"/>
      <w:b/>
      <w:bCs/>
      <w:lang w:eastAsia="en-US"/>
    </w:rPr>
  </w:style>
  <w:style w:type="paragraph" w:customStyle="1" w:styleId="Nivel2">
    <w:name w:val="Nivel 2"/>
    <w:basedOn w:val="Normal"/>
    <w:link w:val="Nivel2Char"/>
    <w:qFormat/>
    <w:rsid w:val="00D8054F"/>
    <w:pPr>
      <w:numPr>
        <w:ilvl w:val="1"/>
        <w:numId w:val="1"/>
      </w:numPr>
      <w:autoSpaceDE w:val="0"/>
      <w:autoSpaceDN w:val="0"/>
      <w:adjustRightInd w:val="0"/>
      <w:spacing w:before="120" w:after="120" w:line="276" w:lineRule="auto"/>
      <w:ind w:left="0" w:firstLine="0"/>
      <w:jc w:val="both"/>
    </w:pPr>
    <w:rPr>
      <w:rFonts w:ascii="Arial" w:hAnsi="Arial" w:cs="Arial"/>
      <w:sz w:val="20"/>
      <w:szCs w:val="20"/>
    </w:rPr>
  </w:style>
  <w:style w:type="character" w:customStyle="1" w:styleId="Nivel2Char">
    <w:name w:val="Nivel 2 Char"/>
    <w:basedOn w:val="Fontepargpadro"/>
    <w:link w:val="Nivel2"/>
    <w:locked/>
    <w:rsid w:val="00D8054F"/>
    <w:rPr>
      <w:rFonts w:ascii="Arial" w:hAnsi="Arial" w:cs="Arial"/>
    </w:rPr>
  </w:style>
  <w:style w:type="paragraph" w:customStyle="1" w:styleId="Nvel2-Red">
    <w:name w:val="Nível 2 -Red"/>
    <w:basedOn w:val="Nivel2"/>
    <w:link w:val="Nvel2-RedChar"/>
    <w:qFormat/>
    <w:rsid w:val="00BE6EA8"/>
    <w:rPr>
      <w:i/>
      <w:iCs/>
      <w:color w:val="FF0000"/>
    </w:rPr>
  </w:style>
  <w:style w:type="character" w:customStyle="1" w:styleId="Nvel2-RedChar">
    <w:name w:val="Nível 2 -Red Char"/>
    <w:basedOn w:val="Nivel2Char"/>
    <w:link w:val="Nvel2-Red"/>
    <w:rsid w:val="00BE6EA8"/>
    <w:rPr>
      <w:rFonts w:ascii="Arial" w:hAnsi="Arial" w:cs="Arial"/>
      <w:i/>
      <w:iCs/>
      <w:color w:val="FF0000"/>
    </w:rPr>
  </w:style>
  <w:style w:type="paragraph" w:customStyle="1" w:styleId="ou">
    <w:name w:val="ou"/>
    <w:basedOn w:val="PargrafodaLista"/>
    <w:link w:val="ouChar"/>
    <w:qFormat/>
    <w:rsid w:val="009D6CCC"/>
    <w:pPr>
      <w:spacing w:before="60" w:after="60" w:line="259" w:lineRule="auto"/>
      <w:ind w:left="0"/>
      <w:contextualSpacing w:val="0"/>
      <w:jc w:val="center"/>
    </w:pPr>
    <w:rPr>
      <w:rFonts w:ascii="Arial" w:eastAsiaTheme="minorHAnsi" w:hAnsi="Arial" w:cs="Arial"/>
      <w:b/>
      <w:bCs/>
      <w:i/>
      <w:iCs/>
      <w:color w:val="FF0000"/>
      <w:sz w:val="20"/>
      <w:u w:val="single"/>
    </w:rPr>
  </w:style>
  <w:style w:type="character" w:customStyle="1" w:styleId="ouChar">
    <w:name w:val="ou Char"/>
    <w:basedOn w:val="Fontepargpadro"/>
    <w:link w:val="ou"/>
    <w:rsid w:val="009D6CCC"/>
    <w:rPr>
      <w:rFonts w:ascii="Arial" w:eastAsiaTheme="minorHAnsi" w:hAnsi="Arial" w:cs="Arial"/>
      <w:b/>
      <w:bCs/>
      <w:i/>
      <w:iCs/>
      <w:color w:val="FF0000"/>
      <w:szCs w:val="24"/>
      <w:u w:val="single"/>
    </w:rPr>
  </w:style>
  <w:style w:type="paragraph" w:customStyle="1" w:styleId="Nvel3-R">
    <w:name w:val="Nível 3-R"/>
    <w:basedOn w:val="Normal"/>
    <w:link w:val="Nvel3-RChar"/>
    <w:qFormat/>
    <w:rsid w:val="00B73E47"/>
    <w:pPr>
      <w:numPr>
        <w:ilvl w:val="2"/>
        <w:numId w:val="1"/>
      </w:numPr>
      <w:spacing w:before="120" w:after="120" w:line="276" w:lineRule="auto"/>
      <w:ind w:left="284" w:firstLine="0"/>
      <w:jc w:val="both"/>
    </w:pPr>
    <w:rPr>
      <w:rFonts w:ascii="Arial" w:eastAsiaTheme="minorEastAsia" w:hAnsi="Arial" w:cs="Arial"/>
      <w:i/>
      <w:iCs/>
      <w:color w:val="FF0000"/>
      <w:sz w:val="20"/>
      <w:szCs w:val="20"/>
    </w:rPr>
  </w:style>
  <w:style w:type="character" w:customStyle="1" w:styleId="Nvel3-RChar">
    <w:name w:val="Nível 3-R Char"/>
    <w:basedOn w:val="Fontepargpadro"/>
    <w:link w:val="Nvel3-R"/>
    <w:rsid w:val="00B73E47"/>
    <w:rPr>
      <w:rFonts w:ascii="Arial" w:eastAsiaTheme="minorEastAsia" w:hAnsi="Arial" w:cs="Arial"/>
      <w:i/>
      <w:iCs/>
      <w:color w:val="FF0000"/>
    </w:rPr>
  </w:style>
  <w:style w:type="paragraph" w:customStyle="1" w:styleId="Nvel3">
    <w:name w:val="Nível 3"/>
    <w:basedOn w:val="Nvel3-R"/>
    <w:link w:val="Nvel3Char"/>
    <w:qFormat/>
    <w:rsid w:val="009D6CCC"/>
    <w:rPr>
      <w:rFonts w:eastAsia="Times New Roman"/>
      <w:i w:val="0"/>
      <w:iCs w:val="0"/>
      <w:color w:val="auto"/>
    </w:rPr>
  </w:style>
  <w:style w:type="paragraph" w:customStyle="1" w:styleId="Nvel4">
    <w:name w:val="Nível 4"/>
    <w:basedOn w:val="Nvel3"/>
    <w:link w:val="Nvel4Char"/>
    <w:qFormat/>
    <w:rsid w:val="009D6CCC"/>
    <w:pPr>
      <w:numPr>
        <w:ilvl w:val="3"/>
      </w:numPr>
      <w:ind w:left="567" w:firstLine="0"/>
    </w:pPr>
  </w:style>
  <w:style w:type="character" w:customStyle="1" w:styleId="Nvel3Char">
    <w:name w:val="Nível 3 Char"/>
    <w:basedOn w:val="Nvel3-RChar"/>
    <w:link w:val="Nvel3"/>
    <w:rsid w:val="009D6CCC"/>
    <w:rPr>
      <w:rFonts w:ascii="Arial" w:eastAsiaTheme="minorEastAsia" w:hAnsi="Arial" w:cs="Arial"/>
      <w:i w:val="0"/>
      <w:iCs w:val="0"/>
      <w:color w:val="FF0000"/>
    </w:rPr>
  </w:style>
  <w:style w:type="paragraph" w:customStyle="1" w:styleId="SubTitNN">
    <w:name w:val="SubTitNN"/>
    <w:basedOn w:val="Normal"/>
    <w:link w:val="SubTitNNChar"/>
    <w:qFormat/>
    <w:rsid w:val="009D6CCC"/>
    <w:pPr>
      <w:spacing w:before="240" w:after="120" w:line="276" w:lineRule="auto"/>
      <w:jc w:val="both"/>
    </w:pPr>
    <w:rPr>
      <w:rFonts w:ascii="Arial" w:hAnsi="Arial" w:cs="Arial"/>
      <w:b/>
      <w:bCs/>
      <w:iCs/>
      <w:sz w:val="20"/>
      <w:szCs w:val="20"/>
    </w:rPr>
  </w:style>
  <w:style w:type="character" w:customStyle="1" w:styleId="Nvel4Char">
    <w:name w:val="Nível 4 Char"/>
    <w:basedOn w:val="Nvel3Char"/>
    <w:link w:val="Nvel4"/>
    <w:rsid w:val="009D6CCC"/>
    <w:rPr>
      <w:rFonts w:ascii="Arial" w:eastAsiaTheme="minorEastAsia" w:hAnsi="Arial" w:cs="Arial"/>
      <w:i w:val="0"/>
      <w:iCs w:val="0"/>
      <w:color w:val="FF0000"/>
    </w:rPr>
  </w:style>
  <w:style w:type="character" w:customStyle="1" w:styleId="SubTitNNChar">
    <w:name w:val="SubTitNN Char"/>
    <w:basedOn w:val="Fontepargpadro"/>
    <w:link w:val="SubTitNN"/>
    <w:rsid w:val="009D6CCC"/>
    <w:rPr>
      <w:rFonts w:ascii="Arial" w:hAnsi="Arial" w:cs="Arial"/>
      <w:b/>
      <w:bCs/>
      <w:iCs/>
    </w:rPr>
  </w:style>
  <w:style w:type="paragraph" w:styleId="Textodenotaderodap">
    <w:name w:val="footnote text"/>
    <w:basedOn w:val="Normal"/>
    <w:link w:val="TextodenotaderodapChar"/>
    <w:semiHidden/>
    <w:unhideWhenUsed/>
    <w:rsid w:val="008874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887439"/>
    <w:rPr>
      <w:rFonts w:ascii="Ecofont_Spranq_eco_Sans" w:hAnsi="Ecofont_Spranq_eco_Sans" w:cs="Tahoma"/>
    </w:rPr>
  </w:style>
  <w:style w:type="character" w:styleId="Refdenotaderodap">
    <w:name w:val="footnote reference"/>
    <w:basedOn w:val="Fontepargpadro"/>
    <w:semiHidden/>
    <w:unhideWhenUsed/>
    <w:rsid w:val="008874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10" ma:contentTypeDescription="Crie um novo documento." ma:contentTypeScope="" ma:versionID="0c31b71fa78768df031cf3ecb486ccda">
  <xsd:schema xmlns:xsd="http://www.w3.org/2001/XMLSchema" xmlns:xs="http://www.w3.org/2001/XMLSchema" xmlns:p="http://schemas.microsoft.com/office/2006/metadata/properties" xmlns:ns2="52c93ea8-e2de-466c-b401-d7fabeb9490e" xmlns:ns3="d7c48ea4-4748-4e79-bb61-d51d73419c91" targetNamespace="http://schemas.microsoft.com/office/2006/metadata/properties" ma:root="true" ma:fieldsID="8e4945030905baccc89c526be19744c4" ns2:_="" ns3:_="">
    <xsd:import namespace="52c93ea8-e2de-466c-b401-d7fabeb9490e"/>
    <xsd:import namespace="d7c48ea4-4748-4e79-bb61-d51d73419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48ea4-4748-4e79-bb61-d51d7341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13F30-1464-43D5-A034-C65A5C7E8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d7c48ea4-4748-4e79-bb61-d51d7341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A1BF10-BA21-41FC-B966-68D460302E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84269E5-3F4A-46A6-9868-DF427E392C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C9371-4FB3-47CC-AED5-E16848F1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3849</Words>
  <Characters>20790</Characters>
  <Application>Microsoft Office Word</Application>
  <DocSecurity>0</DocSecurity>
  <Lines>173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2023-08-29T12:43:00Z</dcterms:created>
  <dcterms:modified xsi:type="dcterms:W3CDTF">2023-12-29T15:10:00Z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</Properties>
</file>